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4573">
      <w:pPr>
        <w:pStyle w:val="tekst"/>
      </w:pPr>
      <w:bookmarkStart w:id="0" w:name="_GoBack"/>
      <w:bookmarkEnd w:id="0"/>
      <w:r>
        <w:t xml:space="preserve">Na osnovu člana 30. st. 1. i 5. Zakona o standardizaciji ("Službeni list SFRJ", br. 38/77 i 11/80), u saglasnosti sa predsednikom Saveznog komiteta za energetiku i industriju i saveznim sekretarom za unutrašnje </w:t>
      </w:r>
      <w:r>
        <w:t>poslove, direktor Saveznog zavoda za standardizaciju propisuje</w:t>
      </w:r>
    </w:p>
    <w:p w:rsidR="00000000" w:rsidRDefault="00474573">
      <w:pPr>
        <w:pStyle w:val="zakon"/>
      </w:pPr>
      <w:r>
        <w:t xml:space="preserve">Pravilnik o tehničkim normativima za zaštitu skladišta od požara i eksplozija </w:t>
      </w:r>
    </w:p>
    <w:p w:rsidR="00000000" w:rsidRDefault="00474573">
      <w:pPr>
        <w:pStyle w:val="mesto"/>
      </w:pPr>
      <w:r>
        <w:t xml:space="preserve">Pravilnik je objavljen u "Službenom listu SFRJ", br. 24/87 od 3.4.1987. godine. </w:t>
      </w:r>
    </w:p>
    <w:p w:rsidR="00000000" w:rsidRDefault="00474573">
      <w:pPr>
        <w:pStyle w:val="clan"/>
      </w:pPr>
      <w:r>
        <w:t xml:space="preserve">Član 1. </w:t>
      </w:r>
    </w:p>
    <w:p w:rsidR="00000000" w:rsidRDefault="00474573">
      <w:pPr>
        <w:pStyle w:val="tekst"/>
      </w:pPr>
      <w:r>
        <w:t>Ovim pravilnikom propisu</w:t>
      </w:r>
      <w:r>
        <w:t xml:space="preserve">ju se tehničke mere zaštite skladišta od požara i eksplozija. </w:t>
      </w:r>
    </w:p>
    <w:p w:rsidR="00000000" w:rsidRDefault="00474573">
      <w:pPr>
        <w:pStyle w:val="tekst"/>
      </w:pPr>
      <w:r>
        <w:t xml:space="preserve">Odredbe ovog pravilnika primenjuju se na zatvorena skladišta koja služe za čuvanje sirovina, poluproizvoda i proizvoda (u daljem tekstu: roba). </w:t>
      </w:r>
    </w:p>
    <w:p w:rsidR="00000000" w:rsidRDefault="00474573">
      <w:pPr>
        <w:pStyle w:val="tekst"/>
      </w:pPr>
      <w:r>
        <w:t>Odredbe ovog pravilnika ne primenjuju se na: skl</w:t>
      </w:r>
      <w:r>
        <w:t>adišta kod kojih je noseća konstrukcija od negorivog materijala i služe za čuvanje negorive robe u negorivoj ambalaži, priručna skladišta, skladišta eksploziva, skladišta zapaljivih gasova i zapaljivih tečnosti, prenosna kontenerska skladišta, kao i skladi</w:t>
      </w:r>
      <w:r>
        <w:t xml:space="preserve">šta opasnih materija (u daljem tekstu: materije) kod kojih opasnost ne potiče od pojave požara i eksplozija. </w:t>
      </w:r>
    </w:p>
    <w:p w:rsidR="00000000" w:rsidRDefault="00474573">
      <w:pPr>
        <w:pStyle w:val="clan"/>
      </w:pPr>
      <w:r>
        <w:t xml:space="preserve">Član 2. </w:t>
      </w:r>
    </w:p>
    <w:p w:rsidR="00000000" w:rsidRDefault="00474573">
      <w:pPr>
        <w:pStyle w:val="tekst"/>
      </w:pPr>
      <w:r>
        <w:t xml:space="preserve">Niže navedeni izrazi, u smislu ovog pravilnika, imaju sledeća značenja: </w:t>
      </w:r>
    </w:p>
    <w:p w:rsidR="00000000" w:rsidRDefault="00474573">
      <w:pPr>
        <w:pStyle w:val="tekst"/>
      </w:pPr>
      <w:r>
        <w:t>1) hladnjača je skladište opremljeno uređajima za održavanje nis</w:t>
      </w:r>
      <w:r>
        <w:t xml:space="preserve">ke temperature i određene vlažnosti; </w:t>
      </w:r>
    </w:p>
    <w:p w:rsidR="00000000" w:rsidRDefault="00474573">
      <w:pPr>
        <w:pStyle w:val="tekst"/>
      </w:pPr>
      <w:r>
        <w:t xml:space="preserve">2) priručna skladišta su skladišta u kojima se čuva roba za potrošnju u toku jednog dana; </w:t>
      </w:r>
    </w:p>
    <w:p w:rsidR="00000000" w:rsidRDefault="00474573">
      <w:pPr>
        <w:pStyle w:val="tekst"/>
      </w:pPr>
      <w:r>
        <w:t xml:space="preserve">3) regalno skladište je skladište u kome se roba čuva u regalima visine do 12 m; </w:t>
      </w:r>
    </w:p>
    <w:p w:rsidR="00000000" w:rsidRDefault="00474573">
      <w:pPr>
        <w:pStyle w:val="tekst"/>
      </w:pPr>
      <w:r>
        <w:t>4) silos je skladište kružnog ili višeugaonog</w:t>
      </w:r>
      <w:r>
        <w:t xml:space="preserve"> horizontalnog preseka koje služi za čuvanje praškastih ili zrnastih materija; </w:t>
      </w:r>
    </w:p>
    <w:p w:rsidR="00000000" w:rsidRDefault="00474573">
      <w:pPr>
        <w:pStyle w:val="tekst"/>
      </w:pPr>
      <w:r>
        <w:t xml:space="preserve">5) visokoregalno skladište je skladište u kome se roba čuva u regalima visine iznad 12 m; </w:t>
      </w:r>
    </w:p>
    <w:p w:rsidR="00000000" w:rsidRDefault="00474573">
      <w:pPr>
        <w:pStyle w:val="tekst"/>
      </w:pPr>
      <w:r>
        <w:t>6) zatvoreno skladište je skladište koje ima krov i zidove kojima je skladište zatvor</w:t>
      </w:r>
      <w:r>
        <w:t xml:space="preserve">eno sa svih strana i obezbeđeno od prodora atmosferilija. </w:t>
      </w:r>
    </w:p>
    <w:p w:rsidR="00000000" w:rsidRDefault="00474573">
      <w:pPr>
        <w:pStyle w:val="clan"/>
      </w:pPr>
      <w:r>
        <w:t xml:space="preserve">Član 3. </w:t>
      </w:r>
    </w:p>
    <w:p w:rsidR="00000000" w:rsidRDefault="00474573">
      <w:pPr>
        <w:pStyle w:val="tekst"/>
      </w:pPr>
      <w:r>
        <w:t xml:space="preserve">Zatvorena skladišta mogu biti: </w:t>
      </w:r>
    </w:p>
    <w:p w:rsidR="00000000" w:rsidRDefault="00474573">
      <w:pPr>
        <w:pStyle w:val="tekst"/>
      </w:pPr>
      <w:r>
        <w:t xml:space="preserve">a) skladišta u posebno izgrađenom objektu; </w:t>
      </w:r>
    </w:p>
    <w:p w:rsidR="00000000" w:rsidRDefault="00474573">
      <w:pPr>
        <w:pStyle w:val="tekst"/>
      </w:pPr>
      <w:r>
        <w:t xml:space="preserve">b) skladišta u prostoriji koja se nalazi u objektu koji služi za druge namene. </w:t>
      </w:r>
    </w:p>
    <w:p w:rsidR="00000000" w:rsidRDefault="00474573">
      <w:pPr>
        <w:pStyle w:val="clan"/>
      </w:pPr>
      <w:r>
        <w:t xml:space="preserve">Član 4. </w:t>
      </w:r>
    </w:p>
    <w:p w:rsidR="00000000" w:rsidRDefault="00474573">
      <w:pPr>
        <w:pStyle w:val="tekst"/>
      </w:pPr>
      <w:r>
        <w:t>Prema veličini skladišt</w:t>
      </w:r>
      <w:r>
        <w:t xml:space="preserve">a se dele na: </w:t>
      </w:r>
    </w:p>
    <w:p w:rsidR="00000000" w:rsidRDefault="00474573">
      <w:pPr>
        <w:pStyle w:val="tekst"/>
      </w:pPr>
      <w:r>
        <w:t>1) mala skladišta, površine do 1000 m</w:t>
      </w:r>
      <w:r>
        <w:rPr>
          <w:vertAlign w:val="superscript"/>
        </w:rPr>
        <w:t>2</w:t>
      </w:r>
      <w:r>
        <w:t xml:space="preserve">; </w:t>
      </w:r>
    </w:p>
    <w:p w:rsidR="00000000" w:rsidRDefault="00474573">
      <w:pPr>
        <w:pStyle w:val="tekst"/>
      </w:pPr>
      <w:r>
        <w:t>2) skladišta srednje veličine, površine od 1001 do 3000 m</w:t>
      </w:r>
      <w:r>
        <w:rPr>
          <w:vertAlign w:val="superscript"/>
        </w:rPr>
        <w:t>2</w:t>
      </w:r>
      <w:r>
        <w:t xml:space="preserve"> i regalna skladišta površine do 3000 m</w:t>
      </w:r>
      <w:r>
        <w:rPr>
          <w:vertAlign w:val="superscript"/>
        </w:rPr>
        <w:t>2</w:t>
      </w:r>
      <w:r>
        <w:t xml:space="preserve">; </w:t>
      </w:r>
    </w:p>
    <w:p w:rsidR="00000000" w:rsidRDefault="00474573">
      <w:pPr>
        <w:pStyle w:val="tekst"/>
      </w:pPr>
      <w:r>
        <w:t>3) velika skladišta, površine iznad 3000 m</w:t>
      </w:r>
      <w:r>
        <w:rPr>
          <w:vertAlign w:val="superscript"/>
        </w:rPr>
        <w:t>2</w:t>
      </w:r>
      <w:r>
        <w:t xml:space="preserve"> i sva visokoregalna skladišta. </w:t>
      </w:r>
    </w:p>
    <w:p w:rsidR="00000000" w:rsidRDefault="00474573">
      <w:pPr>
        <w:pStyle w:val="clan"/>
      </w:pPr>
      <w:r>
        <w:t xml:space="preserve">Član 5. </w:t>
      </w:r>
    </w:p>
    <w:p w:rsidR="00000000" w:rsidRDefault="00474573">
      <w:pPr>
        <w:pStyle w:val="tekst"/>
      </w:pPr>
      <w:r>
        <w:t>Skladišta mora</w:t>
      </w:r>
      <w:r>
        <w:t xml:space="preserve">ju imati prilaz za vatrogasna vozila, i to: </w:t>
      </w:r>
    </w:p>
    <w:p w:rsidR="00000000" w:rsidRDefault="00474573">
      <w:pPr>
        <w:pStyle w:val="tekst"/>
      </w:pPr>
      <w:r>
        <w:t xml:space="preserve">1) mala skladišta - najmanje sa jedne strane; </w:t>
      </w:r>
    </w:p>
    <w:p w:rsidR="00000000" w:rsidRDefault="00474573">
      <w:pPr>
        <w:pStyle w:val="tekst"/>
      </w:pPr>
      <w:r>
        <w:t xml:space="preserve">2) skladišta srednje veličine - najmanje sa dve strane; </w:t>
      </w:r>
    </w:p>
    <w:p w:rsidR="00000000" w:rsidRDefault="00474573">
      <w:pPr>
        <w:pStyle w:val="tekst"/>
      </w:pPr>
      <w:r>
        <w:t xml:space="preserve">3) velika skladišta i hladnjače - najmanje sa tri strane; </w:t>
      </w:r>
    </w:p>
    <w:p w:rsidR="00000000" w:rsidRDefault="00474573">
      <w:pPr>
        <w:pStyle w:val="tekst"/>
      </w:pPr>
      <w:r>
        <w:t xml:space="preserve">4) silos (uključujući prijemno-otpremna mesta uz silos i ostale pomoćne prostorije koje su neposredno uključene u proces rada silosa) - sa sve četiri strane. </w:t>
      </w:r>
    </w:p>
    <w:p w:rsidR="00000000" w:rsidRDefault="00474573">
      <w:pPr>
        <w:pStyle w:val="clan"/>
      </w:pPr>
      <w:r>
        <w:t xml:space="preserve">Član 6. </w:t>
      </w:r>
    </w:p>
    <w:p w:rsidR="00000000" w:rsidRDefault="00474573">
      <w:pPr>
        <w:pStyle w:val="tekst"/>
      </w:pPr>
      <w:r>
        <w:t xml:space="preserve">Put za evakuaciju iz skladišta prema bezbednom prostoru mora da bude: neprekidan, ravan </w:t>
      </w:r>
      <w:r>
        <w:t xml:space="preserve">sa što manje krivina, uvek slobodan i nezakrčen. Smer prema izlazu za evakuaciju označava se na podu, strelicama žute boje. Put za evakuaciju mora biti najmanje širine 0,8 m i ograničen svetlozelenim trakama širine 10 cm. </w:t>
      </w:r>
    </w:p>
    <w:p w:rsidR="00000000" w:rsidRDefault="00474573">
      <w:pPr>
        <w:pStyle w:val="clan"/>
      </w:pPr>
      <w:r>
        <w:t xml:space="preserve">Član 7. </w:t>
      </w:r>
    </w:p>
    <w:p w:rsidR="00000000" w:rsidRDefault="00474573">
      <w:pPr>
        <w:pStyle w:val="tekst"/>
      </w:pPr>
      <w:r>
        <w:t>Vrata na putu za evakuac</w:t>
      </w:r>
      <w:r>
        <w:t xml:space="preserve">iju moraju biti široka najmanje 0,8 m, moraju biti zaokretna, tako da se otvaraju u smeru izlaženja, i ne smeju imati prag. </w:t>
      </w:r>
    </w:p>
    <w:p w:rsidR="00000000" w:rsidRDefault="00474573">
      <w:pPr>
        <w:pStyle w:val="tekst"/>
      </w:pPr>
      <w:r>
        <w:lastRenderedPageBreak/>
        <w:t>Ako su vrata na putu za evakuaciju klizajuća ili zaokretna i šira od 1,25 m na njima se moraju napraviti zaokretna vrata koja moraj</w:t>
      </w:r>
      <w:r>
        <w:t xml:space="preserve">u zadovoljiti zahteve iz stava 1. ovog člana. </w:t>
      </w:r>
    </w:p>
    <w:p w:rsidR="00000000" w:rsidRDefault="00474573">
      <w:pPr>
        <w:pStyle w:val="clan"/>
      </w:pPr>
      <w:r>
        <w:t xml:space="preserve">Član 8. </w:t>
      </w:r>
    </w:p>
    <w:p w:rsidR="00000000" w:rsidRDefault="00474573">
      <w:pPr>
        <w:pStyle w:val="tekst"/>
      </w:pPr>
      <w:r>
        <w:t>Skladišta sa požarnim opterećenjem višim od 1000 MJ/m</w:t>
      </w:r>
      <w:r>
        <w:rPr>
          <w:vertAlign w:val="superscript"/>
        </w:rPr>
        <w:t>2</w:t>
      </w:r>
      <w:r>
        <w:t xml:space="preserve"> moraju imati najmanje dva izlaza za evakuaciju, postavljena tako da se prostorija skladišta može bezbedno napustiti, bez obzira na to s koje stra</w:t>
      </w:r>
      <w:r>
        <w:t xml:space="preserve">ne je započeo požar. </w:t>
      </w:r>
    </w:p>
    <w:p w:rsidR="00000000" w:rsidRDefault="00474573">
      <w:pPr>
        <w:pStyle w:val="clan"/>
      </w:pPr>
      <w:r>
        <w:t xml:space="preserve">Član 9. </w:t>
      </w:r>
    </w:p>
    <w:p w:rsidR="00000000" w:rsidRDefault="00474573">
      <w:pPr>
        <w:pStyle w:val="tekst"/>
      </w:pPr>
      <w:r>
        <w:t xml:space="preserve">Stepenice koje su namenjene za evakuaciju moraju biti široke najmanje 0,8 m i izgrađene od negorivog materijala otpornog prema požaru najmanje 0,5 h. </w:t>
      </w:r>
    </w:p>
    <w:p w:rsidR="00000000" w:rsidRDefault="00474573">
      <w:pPr>
        <w:pStyle w:val="clan"/>
      </w:pPr>
      <w:r>
        <w:t xml:space="preserve">Član 10. </w:t>
      </w:r>
    </w:p>
    <w:p w:rsidR="00000000" w:rsidRDefault="00474573">
      <w:pPr>
        <w:pStyle w:val="tekst"/>
      </w:pPr>
      <w:r>
        <w:t>U svakoj od podrumskih ili suterenskih prostorija u skladištu mo</w:t>
      </w:r>
      <w:r>
        <w:t xml:space="preserve">raju se izgraditi po jedne stepenice na dve različite strane, koje vode do nivoa zemljišta. </w:t>
      </w:r>
    </w:p>
    <w:p w:rsidR="00000000" w:rsidRDefault="00474573">
      <w:pPr>
        <w:pStyle w:val="clan"/>
      </w:pPr>
      <w:r>
        <w:t xml:space="preserve">Član 11. </w:t>
      </w:r>
    </w:p>
    <w:p w:rsidR="00000000" w:rsidRDefault="00474573">
      <w:pPr>
        <w:pStyle w:val="tekst"/>
      </w:pPr>
      <w:r>
        <w:t>Velika skladišta i skladišta srednje veličine koja imaju najmanje jedan nadzemni sprat moraju imati požarne stepenice koje se postavljaju na najvećem mog</w:t>
      </w:r>
      <w:r>
        <w:t xml:space="preserve">ućem rastojanju od prostorije za pogonske uređaje. </w:t>
      </w:r>
    </w:p>
    <w:p w:rsidR="00000000" w:rsidRDefault="00474573">
      <w:pPr>
        <w:pStyle w:val="clan"/>
      </w:pPr>
      <w:r>
        <w:t xml:space="preserve">Član 12. </w:t>
      </w:r>
    </w:p>
    <w:p w:rsidR="00000000" w:rsidRDefault="00474573">
      <w:pPr>
        <w:pStyle w:val="tekst"/>
      </w:pPr>
      <w:r>
        <w:t xml:space="preserve">Požarne stepenice prave se na branicima za zaštitu od pada i postavljaju se od nivoa zemljišta do krova, na najvećoj mogućoj udaljenosti od prostorije za pogonske uređaje. </w:t>
      </w:r>
    </w:p>
    <w:p w:rsidR="00000000" w:rsidRDefault="00474573">
      <w:pPr>
        <w:pStyle w:val="tekst"/>
      </w:pPr>
      <w:r>
        <w:t xml:space="preserve">Stepenicama iz stava </w:t>
      </w:r>
      <w:r>
        <w:t xml:space="preserve">1. ovog člana mora se obezbediti slobodan prilaz sa svih spratova u skladištu. </w:t>
      </w:r>
    </w:p>
    <w:p w:rsidR="00000000" w:rsidRDefault="00474573">
      <w:pPr>
        <w:pStyle w:val="clan"/>
      </w:pPr>
      <w:r>
        <w:t xml:space="preserve">Član 13. </w:t>
      </w:r>
    </w:p>
    <w:p w:rsidR="00000000" w:rsidRDefault="00474573">
      <w:pPr>
        <w:pStyle w:val="tekst"/>
      </w:pPr>
      <w:r>
        <w:t xml:space="preserve">Stepen otpornosti konstrukcionih elemenata skladišta prema požaru dat je u tabeli 1. </w:t>
      </w:r>
    </w:p>
    <w:p w:rsidR="00000000" w:rsidRDefault="00474573">
      <w:pPr>
        <w:pStyle w:val="odluciob"/>
      </w:pPr>
      <w:r>
        <w:t xml:space="preserve">Tabela 1. </w:t>
      </w:r>
    </w:p>
    <w:tbl>
      <w:tblPr>
        <w:tblW w:w="885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5"/>
        <w:gridCol w:w="865"/>
        <w:gridCol w:w="918"/>
        <w:gridCol w:w="865"/>
        <w:gridCol w:w="745"/>
        <w:gridCol w:w="918"/>
        <w:gridCol w:w="865"/>
        <w:gridCol w:w="745"/>
        <w:gridCol w:w="918"/>
        <w:gridCol w:w="872"/>
      </w:tblGrid>
      <w:tr w:rsidR="00000000">
        <w:trPr>
          <w:tblCellSpacing w:w="7" w:type="dxa"/>
          <w:jc w:val="center"/>
        </w:trPr>
        <w:tc>
          <w:tcPr>
            <w:tcW w:w="500" w:type="pct"/>
            <w:vMerge w:val="restart"/>
            <w:hideMark/>
          </w:tcPr>
          <w:p w:rsidR="00000000" w:rsidRDefault="00474573">
            <w:pPr>
              <w:pStyle w:val="NormalWeb"/>
            </w:pPr>
            <w:r>
              <w:t xml:space="preserve">   </w:t>
            </w:r>
          </w:p>
          <w:p w:rsidR="00000000" w:rsidRDefault="00474573">
            <w:pPr>
              <w:pStyle w:val="NormalWeb"/>
            </w:pPr>
            <w:r>
              <w:t xml:space="preserve">   </w:t>
            </w:r>
          </w:p>
        </w:tc>
        <w:tc>
          <w:tcPr>
            <w:tcW w:w="1500" w:type="pct"/>
            <w:gridSpan w:val="3"/>
            <w:vAlign w:val="center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Mala skladišta </w:t>
            </w:r>
          </w:p>
        </w:tc>
        <w:tc>
          <w:tcPr>
            <w:tcW w:w="1500" w:type="pct"/>
            <w:gridSpan w:val="3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Skladišta srednje veličine </w:t>
            </w:r>
          </w:p>
        </w:tc>
        <w:tc>
          <w:tcPr>
            <w:tcW w:w="1500" w:type="pct"/>
            <w:gridSpan w:val="3"/>
            <w:vAlign w:val="center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Velika skladišta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474573"/>
        </w:tc>
        <w:tc>
          <w:tcPr>
            <w:tcW w:w="4500" w:type="pct"/>
            <w:gridSpan w:val="9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Požarno opterećenje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474573"/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  nisko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srednje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visoko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nisko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srednje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visoko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nisko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srednje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visoko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00" w:type="pct"/>
            <w:hideMark/>
          </w:tcPr>
          <w:p w:rsidR="00000000" w:rsidRDefault="00474573">
            <w:pPr>
              <w:pStyle w:val="NormalWeb"/>
            </w:pPr>
            <w:r>
              <w:t xml:space="preserve">  Stepen otpornosti prema požaru, prema standardu JUS U.J1.240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II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II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III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II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III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IV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III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IV </w:t>
            </w:r>
          </w:p>
        </w:tc>
        <w:tc>
          <w:tcPr>
            <w:tcW w:w="500" w:type="pct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  </w:t>
            </w:r>
          </w:p>
          <w:p w:rsidR="00000000" w:rsidRDefault="00474573">
            <w:pPr>
              <w:pStyle w:val="NormalWeb"/>
              <w:jc w:val="center"/>
            </w:pPr>
            <w:r>
              <w:t xml:space="preserve">V </w:t>
            </w:r>
          </w:p>
        </w:tc>
      </w:tr>
    </w:tbl>
    <w:p w:rsidR="00000000" w:rsidRDefault="00474573">
      <w:pPr>
        <w:pStyle w:val="tekst"/>
      </w:pPr>
      <w:r>
        <w:t xml:space="preserve">Ako je skladište opremljeno uređajima za automatsko gašenje požara, stepen otpornosti konstrukcionih elemenata prema tabeli 1 može se smanjiti za jedan. </w:t>
      </w:r>
    </w:p>
    <w:p w:rsidR="00000000" w:rsidRDefault="00474573">
      <w:pPr>
        <w:pStyle w:val="tekst"/>
      </w:pPr>
      <w:r>
        <w:t>Noseće čelične konstrukcije u velikim skladištima i skladištima srednje veličine sa visokim i srednjim požarnim opterećenjem moraju se zaštititi negorivim materijalom tako da njihova otpornost prema požaru zadovoljava zahteve iz tabele 1, ili prostor sklad</w:t>
      </w:r>
      <w:r>
        <w:t xml:space="preserve">išta mora biti zaštićen uređajima za automatsko gašenje požara. </w:t>
      </w:r>
    </w:p>
    <w:p w:rsidR="00000000" w:rsidRDefault="00474573">
      <w:pPr>
        <w:pStyle w:val="clan"/>
      </w:pPr>
      <w:r>
        <w:t xml:space="preserve">Član 14. </w:t>
      </w:r>
    </w:p>
    <w:p w:rsidR="00000000" w:rsidRDefault="00474573">
      <w:pPr>
        <w:pStyle w:val="tekst"/>
      </w:pPr>
      <w:r>
        <w:t xml:space="preserve">Otpornost požarnog zida prema požaru određuje se prema požarnom sektoru koji ima više požarno opterećenje. </w:t>
      </w:r>
    </w:p>
    <w:p w:rsidR="00000000" w:rsidRDefault="00474573">
      <w:pPr>
        <w:pStyle w:val="clan"/>
      </w:pPr>
      <w:r>
        <w:t xml:space="preserve">Član 15. </w:t>
      </w:r>
    </w:p>
    <w:p w:rsidR="00000000" w:rsidRDefault="00474573">
      <w:pPr>
        <w:pStyle w:val="tekst"/>
      </w:pPr>
      <w:r>
        <w:t xml:space="preserve">Požarni zid mora da nadvisuje krov skladišnog objekta najmanje </w:t>
      </w:r>
      <w:r>
        <w:t xml:space="preserve">za 50 cm, a ako je krov od gorivog materijala, na obe strane, po 160 cm od zida, ugrađuje se i deo krova od negorivog materijala. </w:t>
      </w:r>
    </w:p>
    <w:p w:rsidR="00000000" w:rsidRDefault="00474573">
      <w:pPr>
        <w:pStyle w:val="tekst"/>
      </w:pPr>
      <w:r>
        <w:lastRenderedPageBreak/>
        <w:t xml:space="preserve">Ako požarni zid čvrsto prianja uz donju stranu krovne konstrukcije čija je otpornost prema požaru najmanje 2 h, takav zid ne </w:t>
      </w:r>
      <w:r>
        <w:t xml:space="preserve">mora da nadvisuje krov skladišta. </w:t>
      </w:r>
    </w:p>
    <w:p w:rsidR="00000000" w:rsidRDefault="00474573">
      <w:pPr>
        <w:pStyle w:val="clan"/>
      </w:pPr>
      <w:r>
        <w:t xml:space="preserve">Član 16. </w:t>
      </w:r>
    </w:p>
    <w:p w:rsidR="00000000" w:rsidRDefault="00474573">
      <w:pPr>
        <w:pStyle w:val="tekst"/>
      </w:pPr>
      <w:r>
        <w:t>Vrata u požarnom zidu moraju imati istu vrednost otpornosti prema požaru kao i zid u kome se nalaze, moraju se zatvarati automatski i mora da postoji mogućnost za ručno zatvaranje. Površina takvih vrata ne sme d</w:t>
      </w:r>
      <w:r>
        <w:t xml:space="preserve">a pređe 25% površine zida. </w:t>
      </w:r>
    </w:p>
    <w:p w:rsidR="00000000" w:rsidRDefault="00474573">
      <w:pPr>
        <w:pStyle w:val="clan"/>
      </w:pPr>
      <w:r>
        <w:t xml:space="preserve">Član 17. </w:t>
      </w:r>
    </w:p>
    <w:p w:rsidR="00000000" w:rsidRDefault="00474573">
      <w:pPr>
        <w:pStyle w:val="tekst"/>
      </w:pPr>
      <w:r>
        <w:t xml:space="preserve">Zidovi stepeništa i šahtova za liftove koji služe za prevoz robe i lica moraju biti otporni prema požaru najmanje: </w:t>
      </w:r>
    </w:p>
    <w:p w:rsidR="00000000" w:rsidRDefault="00474573">
      <w:pPr>
        <w:pStyle w:val="tekst"/>
      </w:pPr>
      <w:r>
        <w:t>1) 1 h u skladištima čije je požarno opterećenje niže od 1300 MJ/m</w:t>
      </w:r>
      <w:r>
        <w:rPr>
          <w:vertAlign w:val="superscript"/>
        </w:rPr>
        <w:t>2</w:t>
      </w:r>
      <w:r>
        <w:t xml:space="preserve">; </w:t>
      </w:r>
    </w:p>
    <w:p w:rsidR="00000000" w:rsidRDefault="00474573">
      <w:pPr>
        <w:pStyle w:val="tekst"/>
      </w:pPr>
      <w:r>
        <w:t>2) 1,5 h u skladištima čije je p</w:t>
      </w:r>
      <w:r>
        <w:t>ožarno opterećenje iznad 1300 MJ/m</w:t>
      </w:r>
      <w:r>
        <w:rPr>
          <w:vertAlign w:val="superscript"/>
        </w:rPr>
        <w:t>2</w:t>
      </w:r>
      <w:r>
        <w:t xml:space="preserve">. </w:t>
      </w:r>
    </w:p>
    <w:p w:rsidR="00000000" w:rsidRDefault="00474573">
      <w:pPr>
        <w:pStyle w:val="tekst"/>
      </w:pPr>
      <w:r>
        <w:t xml:space="preserve">U slučajevima navedenim u odredbama pod 1) i 2) ovog člana, vrata na liftovima moraju biti otporna prema požaru najmanje 0,5 h. </w:t>
      </w:r>
    </w:p>
    <w:p w:rsidR="00000000" w:rsidRDefault="00474573">
      <w:pPr>
        <w:pStyle w:val="clan"/>
      </w:pPr>
      <w:r>
        <w:t xml:space="preserve">Član 18. </w:t>
      </w:r>
    </w:p>
    <w:p w:rsidR="00000000" w:rsidRDefault="00474573">
      <w:pPr>
        <w:pStyle w:val="tekst"/>
      </w:pPr>
      <w:r>
        <w:t xml:space="preserve">Noseće konstrukcije rampe i nadstrešnice zatvorenih skladišta opasnih materija </w:t>
      </w:r>
      <w:r>
        <w:t xml:space="preserve">prave se od negorivog materijala. </w:t>
      </w:r>
    </w:p>
    <w:p w:rsidR="00000000" w:rsidRDefault="00474573">
      <w:pPr>
        <w:pStyle w:val="clan"/>
      </w:pPr>
      <w:r>
        <w:t xml:space="preserve">Član 19. </w:t>
      </w:r>
    </w:p>
    <w:p w:rsidR="00000000" w:rsidRDefault="00474573">
      <w:pPr>
        <w:pStyle w:val="tekst"/>
      </w:pPr>
      <w:r>
        <w:t xml:space="preserve">Najveće dozvoljene površine požarnih sektora u zatvorenim skladištima date su u tabeli 2, s tim da svaki požarni sektor mora da ima najmanje jedan spoljni zid na kome se nalazi ulaz u skladište. </w:t>
      </w:r>
    </w:p>
    <w:p w:rsidR="00000000" w:rsidRDefault="00474573">
      <w:pPr>
        <w:pStyle w:val="odluciob"/>
      </w:pPr>
      <w:r>
        <w:t xml:space="preserve">Tabela 2. </w:t>
      </w:r>
    </w:p>
    <w:tbl>
      <w:tblPr>
        <w:tblW w:w="885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9"/>
        <w:gridCol w:w="1933"/>
        <w:gridCol w:w="1964"/>
        <w:gridCol w:w="2594"/>
      </w:tblGrid>
      <w:tr w:rsidR="00000000">
        <w:trPr>
          <w:tblCellSpacing w:w="7" w:type="dxa"/>
          <w:jc w:val="center"/>
        </w:trPr>
        <w:tc>
          <w:tcPr>
            <w:tcW w:w="8550" w:type="dxa"/>
            <w:gridSpan w:val="4"/>
            <w:hideMark/>
          </w:tcPr>
          <w:p w:rsidR="00000000" w:rsidRDefault="00474573">
            <w:pPr>
              <w:pStyle w:val="NormalWeb"/>
              <w:jc w:val="center"/>
            </w:pPr>
            <w:r>
              <w:t>Najv</w:t>
            </w:r>
            <w:r>
              <w:t>eće dozvoljene površine požarnih sektora, u m</w:t>
            </w:r>
            <w:r>
              <w:rPr>
                <w:vertAlign w:val="superscript"/>
              </w:rP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265" w:type="dxa"/>
            <w:vAlign w:val="center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Vrsta materijala </w:t>
            </w:r>
          </w:p>
        </w:tc>
        <w:tc>
          <w:tcPr>
            <w:tcW w:w="1860" w:type="dxa"/>
            <w:vAlign w:val="center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Bez instalacija za automatsko otkrivanje požara </w:t>
            </w:r>
          </w:p>
        </w:tc>
        <w:tc>
          <w:tcPr>
            <w:tcW w:w="1890" w:type="dxa"/>
            <w:vAlign w:val="center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Sa instalacijama za automatsko otkrivanje požara </w:t>
            </w:r>
          </w:p>
        </w:tc>
        <w:tc>
          <w:tcPr>
            <w:tcW w:w="177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Sa uređajima za automatsko otkrivanje i gašenje požara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265" w:type="dxa"/>
            <w:hideMark/>
          </w:tcPr>
          <w:p w:rsidR="00000000" w:rsidRDefault="00474573">
            <w:pPr>
              <w:pStyle w:val="NormalWeb"/>
            </w:pPr>
            <w:r>
              <w:t>  Zapaljive praškaste materije</w:t>
            </w:r>
            <w:r>
              <w:t xml:space="preserve"> </w:t>
            </w:r>
          </w:p>
        </w:tc>
        <w:tc>
          <w:tcPr>
            <w:tcW w:w="186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do 400 </w:t>
            </w:r>
          </w:p>
        </w:tc>
        <w:tc>
          <w:tcPr>
            <w:tcW w:w="189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do 800 </w:t>
            </w:r>
          </w:p>
        </w:tc>
        <w:tc>
          <w:tcPr>
            <w:tcW w:w="177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neograničeno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265" w:type="dxa"/>
            <w:hideMark/>
          </w:tcPr>
          <w:p w:rsidR="00000000" w:rsidRDefault="00474573">
            <w:pPr>
              <w:pStyle w:val="NormalWeb"/>
            </w:pPr>
            <w:r>
              <w:t xml:space="preserve">  Čvrste kompaktne zapaljive materije, temperature paljenja do 300 </w:t>
            </w:r>
            <w:r>
              <w:rPr>
                <w:vertAlign w:val="superscript"/>
              </w:rPr>
              <w:t>o</w:t>
            </w:r>
            <w:r>
              <w:t xml:space="preserve">S </w:t>
            </w:r>
          </w:p>
        </w:tc>
        <w:tc>
          <w:tcPr>
            <w:tcW w:w="186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do 2000 </w:t>
            </w:r>
          </w:p>
        </w:tc>
        <w:tc>
          <w:tcPr>
            <w:tcW w:w="189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do 3000 </w:t>
            </w:r>
          </w:p>
        </w:tc>
        <w:tc>
          <w:tcPr>
            <w:tcW w:w="177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neograničeno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265" w:type="dxa"/>
            <w:hideMark/>
          </w:tcPr>
          <w:p w:rsidR="00000000" w:rsidRDefault="00474573">
            <w:pPr>
              <w:pStyle w:val="NormalWeb"/>
            </w:pPr>
            <w:r>
              <w:t xml:space="preserve">  Čvrste kompaktne materije, temperature paljenja iznad 300 </w:t>
            </w:r>
            <w:r>
              <w:rPr>
                <w:vertAlign w:val="superscript"/>
              </w:rPr>
              <w:t>o</w:t>
            </w:r>
            <w:r>
              <w:t xml:space="preserve">S </w:t>
            </w:r>
          </w:p>
        </w:tc>
        <w:tc>
          <w:tcPr>
            <w:tcW w:w="186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do 3000 </w:t>
            </w:r>
          </w:p>
        </w:tc>
        <w:tc>
          <w:tcPr>
            <w:tcW w:w="189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do 4500 </w:t>
            </w:r>
          </w:p>
        </w:tc>
        <w:tc>
          <w:tcPr>
            <w:tcW w:w="1770" w:type="dxa"/>
            <w:hideMark/>
          </w:tcPr>
          <w:p w:rsidR="00000000" w:rsidRDefault="00474573">
            <w:pPr>
              <w:pStyle w:val="NormalWeb"/>
              <w:jc w:val="center"/>
            </w:pPr>
            <w:r>
              <w:t xml:space="preserve">neograničeno </w:t>
            </w:r>
          </w:p>
        </w:tc>
      </w:tr>
    </w:tbl>
    <w:p w:rsidR="00000000" w:rsidRDefault="00474573">
      <w:pPr>
        <w:pStyle w:val="tekst"/>
      </w:pPr>
      <w:r>
        <w:t> </w:t>
      </w:r>
    </w:p>
    <w:p w:rsidR="00000000" w:rsidRDefault="00474573">
      <w:pPr>
        <w:pStyle w:val="tekst"/>
      </w:pPr>
      <w:r>
        <w:t xml:space="preserve">Kod skladišta koja imaju više spratova nije dozvoljeno spajanje prostorija sa dva sprata ili više spratova u jedan požarni sektor. </w:t>
      </w:r>
    </w:p>
    <w:p w:rsidR="00000000" w:rsidRDefault="00474573">
      <w:pPr>
        <w:pStyle w:val="tekst"/>
      </w:pPr>
      <w:r>
        <w:t xml:space="preserve">Visokoregalna skladišta, bez obzira na veličinu, čine jedan požarni sektor. </w:t>
      </w:r>
    </w:p>
    <w:p w:rsidR="00000000" w:rsidRDefault="00474573">
      <w:pPr>
        <w:pStyle w:val="clan"/>
      </w:pPr>
      <w:r>
        <w:t xml:space="preserve">Član 20. </w:t>
      </w:r>
    </w:p>
    <w:p w:rsidR="00000000" w:rsidRDefault="00474573">
      <w:pPr>
        <w:pStyle w:val="tekst"/>
      </w:pPr>
      <w:r>
        <w:t>U skladištima u kojima postoji opasno</w:t>
      </w:r>
      <w:r>
        <w:t xml:space="preserve">st od stvaranja eksllozivnih smeša moraju se preduzeti sledeće mere: </w:t>
      </w:r>
    </w:p>
    <w:p w:rsidR="00000000" w:rsidRDefault="00474573">
      <w:pPr>
        <w:pStyle w:val="tekst"/>
      </w:pPr>
      <w:r>
        <w:t xml:space="preserve">1) električni uređaji i oprema, kao i manipulativna i transportna sredstva, moraju biti konstrukciono izvedena u protiveksplozionoj zaštiti; </w:t>
      </w:r>
    </w:p>
    <w:p w:rsidR="00000000" w:rsidRDefault="00474573">
      <w:pPr>
        <w:pStyle w:val="tekst"/>
      </w:pPr>
      <w:r>
        <w:t>2) manipulativna i transportna sredstva za č</w:t>
      </w:r>
      <w:r>
        <w:t xml:space="preserve">iji se pogon koriste motori sa unutrašnjim sagorevanjem moraju imati hvatač varnica na izduvnoj cevi; </w:t>
      </w:r>
    </w:p>
    <w:p w:rsidR="00000000" w:rsidRDefault="00474573">
      <w:pPr>
        <w:pStyle w:val="tekst"/>
      </w:pPr>
      <w:r>
        <w:t xml:space="preserve">3) podovi moraju biti od negorivog materijala koji ne varniči i moraju provoditi statički elektricitet; </w:t>
      </w:r>
    </w:p>
    <w:p w:rsidR="00000000" w:rsidRDefault="00474573">
      <w:pPr>
        <w:pStyle w:val="tekst"/>
      </w:pPr>
      <w:r>
        <w:t>4) vrata, poklopci i prozori koji se otvaraju mo</w:t>
      </w:r>
      <w:r>
        <w:t xml:space="preserve">raju biti od negorivog materijala koji ne varniči, a ako su od metala, moraju biti uzemljeni; </w:t>
      </w:r>
    </w:p>
    <w:p w:rsidR="00000000" w:rsidRDefault="00474573">
      <w:pPr>
        <w:pStyle w:val="tekst"/>
      </w:pPr>
      <w:r>
        <w:lastRenderedPageBreak/>
        <w:t xml:space="preserve">5) kućišta za sijalice moraju biti od negorivog materijala i moraju biti postavljena tako da se onemogući razbijanje sijalica prilikom rada mehanizacije; </w:t>
      </w:r>
    </w:p>
    <w:p w:rsidR="00000000" w:rsidRDefault="00474573">
      <w:pPr>
        <w:pStyle w:val="tekst"/>
      </w:pPr>
      <w:r>
        <w:t>6) skl</w:t>
      </w:r>
      <w:r>
        <w:t>adišta se moraju prirodno provetravati, a gde to nije dozvoljeno mora se obezbediti i veštačko provetravanje. Površina otvora za prirodno provetravanje ili veštačko provetravanje skladišne prostorije mora biti toliko da se ne sme dostići vrednost od 10% do</w:t>
      </w:r>
      <w:r>
        <w:t xml:space="preserve">nje granice eksplozivnosti bilo koje prisutne zapaljive komponente; </w:t>
      </w:r>
    </w:p>
    <w:p w:rsidR="00000000" w:rsidRDefault="00474573">
      <w:pPr>
        <w:pStyle w:val="tekst"/>
      </w:pPr>
      <w:r>
        <w:t xml:space="preserve">7) na mestima stvaranja eksplozivnih smeša, pored opšteg provetravanja, moraju se ugraditi uređaji za lokalno odsisavanje; </w:t>
      </w:r>
    </w:p>
    <w:p w:rsidR="00000000" w:rsidRDefault="00474573">
      <w:pPr>
        <w:pStyle w:val="tekst"/>
      </w:pPr>
      <w:r>
        <w:t>8) unutrašnje površine skladišta na kojima bi se mogla skupljat</w:t>
      </w:r>
      <w:r>
        <w:t xml:space="preserve">i zapaljiva prašina moraju biti glatke i bez teško pristupačnih mesta. </w:t>
      </w:r>
    </w:p>
    <w:p w:rsidR="00000000" w:rsidRDefault="00474573">
      <w:pPr>
        <w:pStyle w:val="clan"/>
      </w:pPr>
      <w:r>
        <w:t xml:space="preserve">Član 21. </w:t>
      </w:r>
    </w:p>
    <w:p w:rsidR="00000000" w:rsidRDefault="00474573">
      <w:pPr>
        <w:pStyle w:val="tekst"/>
      </w:pPr>
      <w:r>
        <w:t xml:space="preserve">Zapaljiva prašina iz skladišta ne sme se izduvavati pomoću komprimovanog vazduha. </w:t>
      </w:r>
    </w:p>
    <w:p w:rsidR="00000000" w:rsidRDefault="00474573">
      <w:pPr>
        <w:pStyle w:val="clan"/>
      </w:pPr>
      <w:r>
        <w:t xml:space="preserve">Član 22. </w:t>
      </w:r>
    </w:p>
    <w:p w:rsidR="00000000" w:rsidRDefault="00474573">
      <w:pPr>
        <w:pStyle w:val="tekst"/>
      </w:pPr>
      <w:r>
        <w:t>Na mestima prolaza kroz granične konstrukcione elemente požarnog sektora, otvori za prolaz električnih kablova moraju se obložiti negorivim materijalom iste otpornosti prema požaru kao i granični konstrukcioni elementi i moraju biti zaptiveni negorivim mat</w:t>
      </w:r>
      <w:r>
        <w:t xml:space="preserve">erijalom. </w:t>
      </w:r>
    </w:p>
    <w:p w:rsidR="00000000" w:rsidRDefault="00474573">
      <w:pPr>
        <w:pStyle w:val="clan"/>
      </w:pPr>
      <w:r>
        <w:t xml:space="preserve">Član 23. </w:t>
      </w:r>
    </w:p>
    <w:p w:rsidR="00000000" w:rsidRDefault="00474573">
      <w:pPr>
        <w:pStyle w:val="tekst"/>
      </w:pPr>
      <w:r>
        <w:t>U svim skladišnim prostorijama mora postojati glavni prekidač koji omogućuje isključivanje električne struje u celom skladištu, a u svakoj skladišnoj prostoriji mora postojati glavni prekidač za isključivanje električne struje u toj pr</w:t>
      </w:r>
      <w:r>
        <w:t xml:space="preserve">ostoriji, bez obzira na broj sektorskih prekidača. </w:t>
      </w:r>
    </w:p>
    <w:p w:rsidR="00000000" w:rsidRDefault="00474573">
      <w:pPr>
        <w:pStyle w:val="tekst"/>
      </w:pPr>
      <w:r>
        <w:t xml:space="preserve">Prekidači iz stava 1. moraju biti postavljeni na mesta koja su lako pristupačna u slučaju požara. </w:t>
      </w:r>
    </w:p>
    <w:p w:rsidR="00000000" w:rsidRDefault="00474573">
      <w:pPr>
        <w:pStyle w:val="tekst"/>
      </w:pPr>
      <w:r>
        <w:t>U visokoregalnim, velikim skladištima i skladištima srednje veličine, kao i u silosima i hladnjačama, mor</w:t>
      </w:r>
      <w:r>
        <w:t xml:space="preserve">a postojati prekidač pomoću kog se može isključiti električna struja u celom skladištu, a u svakoj skladišnoj prostoriji mora postojati glavni prekidač za isključivanje električne struje za tu prostoriju. </w:t>
      </w:r>
    </w:p>
    <w:p w:rsidR="00000000" w:rsidRDefault="00474573">
      <w:pPr>
        <w:pStyle w:val="clan"/>
      </w:pPr>
      <w:r>
        <w:t xml:space="preserve">Član 24. </w:t>
      </w:r>
    </w:p>
    <w:p w:rsidR="00000000" w:rsidRDefault="00474573">
      <w:pPr>
        <w:pStyle w:val="tekst"/>
      </w:pPr>
      <w:r>
        <w:t xml:space="preserve">Skladišta moraju biti snabdevena nužnim </w:t>
      </w:r>
      <w:r>
        <w:t xml:space="preserve">svetlom koje se automatski uključuje nestankom električne struje i koje obezbeđuje osvetljavanje u slučaju požara u trajanju od najmanje 1 h. </w:t>
      </w:r>
    </w:p>
    <w:p w:rsidR="00000000" w:rsidRDefault="00474573">
      <w:pPr>
        <w:pStyle w:val="clan"/>
      </w:pPr>
      <w:r>
        <w:t xml:space="preserve">Član 25. </w:t>
      </w:r>
    </w:p>
    <w:p w:rsidR="00000000" w:rsidRDefault="00474573">
      <w:pPr>
        <w:pStyle w:val="tekst"/>
      </w:pPr>
      <w:r>
        <w:t>Skladišta se mogu grejati električnim radijatorima ili sistemom centralnog grejanja toplom vodom ili pa</w:t>
      </w:r>
      <w:r>
        <w:t xml:space="preserve">rom, pod uslovom da se kotlarnica nalazi van skladišta i van zone opasnosti i da su dimnjaci snabdeveni uređajima za sprečavanje ispuštanja varnica. </w:t>
      </w:r>
    </w:p>
    <w:p w:rsidR="00000000" w:rsidRDefault="00474573">
      <w:pPr>
        <w:pStyle w:val="tekst"/>
      </w:pPr>
      <w:r>
        <w:t xml:space="preserve">Grejna tela u skladištu opasnih materija ne smeju dostići temperaturu 10 </w:t>
      </w:r>
      <w:r>
        <w:rPr>
          <w:vertAlign w:val="superscript"/>
        </w:rPr>
        <w:t>o</w:t>
      </w:r>
      <w:r>
        <w:t>S nižu od temperature samopaljen</w:t>
      </w:r>
      <w:r>
        <w:t xml:space="preserve">ja materije koja ima najnižu temperaturu samopaljenja. </w:t>
      </w:r>
    </w:p>
    <w:p w:rsidR="00000000" w:rsidRDefault="00474573">
      <w:pPr>
        <w:pStyle w:val="clan"/>
      </w:pPr>
      <w:r>
        <w:t xml:space="preserve">Član 26. </w:t>
      </w:r>
    </w:p>
    <w:p w:rsidR="00000000" w:rsidRDefault="00474573">
      <w:pPr>
        <w:pStyle w:val="tekst"/>
      </w:pPr>
      <w:r>
        <w:t>Mala skladišta negorivih materija u negorivoj ambalaži čije požarno opterećenje ne prelazi 300 MJ/m</w:t>
      </w:r>
      <w:r>
        <w:rPr>
          <w:vertAlign w:val="superscript"/>
        </w:rPr>
        <w:t xml:space="preserve">2 </w:t>
      </w:r>
      <w:r>
        <w:t xml:space="preserve">mogu se grejati i električnim pećima i pećima na čvrsta, tečna ili gasovita goriva. Peći </w:t>
      </w:r>
      <w:r>
        <w:t xml:space="preserve">moraju biti smeštene u boksove od negorivog materijala, moraju biti osigurane od ispadanja žara ili izlivanja tečnog goriva, a njihova postolja moraju biti od vatrostalnog materijala. </w:t>
      </w:r>
    </w:p>
    <w:p w:rsidR="00000000" w:rsidRDefault="00474573">
      <w:pPr>
        <w:pStyle w:val="clan"/>
      </w:pPr>
      <w:r>
        <w:t xml:space="preserve">Član 27. </w:t>
      </w:r>
    </w:p>
    <w:p w:rsidR="00000000" w:rsidRDefault="00474573">
      <w:pPr>
        <w:pStyle w:val="tekst"/>
      </w:pPr>
      <w:r>
        <w:t>Udaljenost uskladištene robe od električnih prekidača i hidra</w:t>
      </w:r>
      <w:r>
        <w:t xml:space="preserve">nata mora biti tolika da je moguć nesmetan pristup do njih, a od sijaličnih mesta i grejnih tela, koja nemaju štitnik od zračenja toplote, udaljenost uskladištene robe ne sme biti manja od 0,5 m. </w:t>
      </w:r>
    </w:p>
    <w:p w:rsidR="00000000" w:rsidRDefault="00474573">
      <w:pPr>
        <w:pStyle w:val="clan"/>
      </w:pPr>
      <w:r>
        <w:t xml:space="preserve">Član 28. </w:t>
      </w:r>
    </w:p>
    <w:p w:rsidR="00000000" w:rsidRDefault="00474573">
      <w:pPr>
        <w:pStyle w:val="tekst"/>
      </w:pPr>
      <w:r>
        <w:t>Visokoregalna skladišta u kojima se skladišti gor</w:t>
      </w:r>
      <w:r>
        <w:t xml:space="preserve">iva roba upakovana u gorivu ili negorivu ambalažu obezbeđuju se stabilnim instalacijama za automatsko gašenje požara. </w:t>
      </w:r>
    </w:p>
    <w:p w:rsidR="00000000" w:rsidRDefault="00474573">
      <w:pPr>
        <w:pStyle w:val="clan"/>
      </w:pPr>
      <w:r>
        <w:t xml:space="preserve">Član 29. </w:t>
      </w:r>
    </w:p>
    <w:p w:rsidR="00000000" w:rsidRDefault="00474573">
      <w:pPr>
        <w:pStyle w:val="tekst"/>
      </w:pPr>
      <w:r>
        <w:t xml:space="preserve">Skladišta moraju biti zaštićena gromobranskim instalacijama. </w:t>
      </w:r>
    </w:p>
    <w:p w:rsidR="00000000" w:rsidRDefault="00474573">
      <w:pPr>
        <w:pStyle w:val="clan"/>
      </w:pPr>
      <w:r>
        <w:t xml:space="preserve">Član 30. </w:t>
      </w:r>
    </w:p>
    <w:p w:rsidR="00000000" w:rsidRDefault="00474573">
      <w:pPr>
        <w:pStyle w:val="tekst"/>
      </w:pPr>
      <w:r>
        <w:t>Ako se skladišta materija koje mogu da stvore eksploziv</w:t>
      </w:r>
      <w:r>
        <w:t xml:space="preserve">ne smeše sastoje od više prostorija u posebno izgrađenom objektu, svaka od tih prostorija mora imati zaseban eksplozioni odušak. </w:t>
      </w:r>
    </w:p>
    <w:p w:rsidR="00000000" w:rsidRDefault="00474573">
      <w:pPr>
        <w:pStyle w:val="clan"/>
      </w:pPr>
      <w:r>
        <w:t xml:space="preserve">Član 31. </w:t>
      </w:r>
    </w:p>
    <w:p w:rsidR="00000000" w:rsidRDefault="00474573">
      <w:pPr>
        <w:pStyle w:val="tekst"/>
      </w:pPr>
      <w:r>
        <w:t>Skladišta koja se nalaze u objektu koji služi i za druge namene moraju imati najmanje jedan spoljni zid na kome se n</w:t>
      </w:r>
      <w:r>
        <w:t xml:space="preserve">alazi ulaz u skladište. </w:t>
      </w:r>
    </w:p>
    <w:p w:rsidR="00000000" w:rsidRDefault="00474573">
      <w:pPr>
        <w:pStyle w:val="tekst"/>
      </w:pPr>
      <w:r>
        <w:t xml:space="preserve">Skladišta iz stava 1. ovg člana moraju biti odvojena od ostalih prostorija požarnim zidom. </w:t>
      </w:r>
    </w:p>
    <w:p w:rsidR="00000000" w:rsidRDefault="00474573">
      <w:pPr>
        <w:pStyle w:val="clan"/>
      </w:pPr>
      <w:r>
        <w:lastRenderedPageBreak/>
        <w:t xml:space="preserve">Član 32. </w:t>
      </w:r>
    </w:p>
    <w:p w:rsidR="00000000" w:rsidRDefault="00474573">
      <w:pPr>
        <w:pStyle w:val="tekst"/>
      </w:pPr>
      <w:r>
        <w:t>Danom stupanja na snagu ovog pravilnika, prestaje da važi pravilnik o tehničkim normativima za skladišta zapaljivih i opasnih mat</w:t>
      </w:r>
      <w:r>
        <w:t xml:space="preserve">erija ("Službeni list SFRJ", br. 14/80 i 9/81). </w:t>
      </w:r>
    </w:p>
    <w:p w:rsidR="00000000" w:rsidRDefault="00474573">
      <w:pPr>
        <w:pStyle w:val="clan"/>
      </w:pPr>
      <w:r>
        <w:t xml:space="preserve">Član 33. </w:t>
      </w:r>
    </w:p>
    <w:p w:rsidR="00000000" w:rsidRDefault="00474573">
      <w:pPr>
        <w:pStyle w:val="tekst"/>
      </w:pPr>
      <w:r>
        <w:t>Ovaj pravilnik stupa na snagu osmog dana od dana objavljivanja u "Službenom listu SFRJ".</w:t>
      </w:r>
    </w:p>
    <w:p w:rsidR="00000000" w:rsidRDefault="00474573">
      <w:pPr>
        <w:pStyle w:val="tekst"/>
      </w:pPr>
      <w:r>
        <w:t>Br. 07-93/3</w:t>
      </w:r>
    </w:p>
    <w:p w:rsidR="00000000" w:rsidRDefault="00474573">
      <w:pPr>
        <w:pStyle w:val="tekst"/>
      </w:pPr>
      <w:r>
        <w:t>8. januara 1987. godine</w:t>
      </w:r>
    </w:p>
    <w:p w:rsidR="00000000" w:rsidRDefault="00474573">
      <w:pPr>
        <w:pStyle w:val="tekst"/>
      </w:pPr>
      <w:r>
        <w:t>Beograd</w:t>
      </w:r>
    </w:p>
    <w:p w:rsidR="00000000" w:rsidRDefault="00474573">
      <w:pPr>
        <w:pStyle w:val="tekst"/>
        <w:jc w:val="right"/>
      </w:pPr>
      <w:r>
        <w:t xml:space="preserve">Direktor </w:t>
      </w:r>
    </w:p>
    <w:p w:rsidR="00000000" w:rsidRDefault="00474573">
      <w:pPr>
        <w:pStyle w:val="tekst"/>
        <w:jc w:val="right"/>
      </w:pPr>
      <w:r>
        <w:t xml:space="preserve">Saveznog zavoda za </w:t>
      </w:r>
    </w:p>
    <w:p w:rsidR="00000000" w:rsidRDefault="00474573">
      <w:pPr>
        <w:pStyle w:val="tekst"/>
        <w:jc w:val="right"/>
      </w:pPr>
      <w:r>
        <w:t>standardizaciju,</w:t>
      </w:r>
    </w:p>
    <w:p w:rsidR="00474573" w:rsidRDefault="00474573">
      <w:pPr>
        <w:pStyle w:val="tekst"/>
        <w:jc w:val="right"/>
      </w:pPr>
      <w:r>
        <w:rPr>
          <w:b/>
          <w:bCs/>
        </w:rPr>
        <w:t>Vukašin Dragojević</w:t>
      </w:r>
      <w:r>
        <w:t>, s.r.</w:t>
      </w:r>
    </w:p>
    <w:sectPr w:rsidR="0047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64CC"/>
    <w:rsid w:val="00474573"/>
    <w:rsid w:val="00C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F1E6-28D6-467C-9ACE-856300B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tekst">
    <w:name w:val="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zakon">
    <w:name w:val="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naslov">
    <w:name w:val="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podnadnaslov">
    <w:name w:val="podnadnaslov"/>
    <w:basedOn w:val="Normal"/>
    <w:pPr>
      <w:spacing w:before="100"/>
      <w:jc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nadnaslov">
    <w:name w:val="nadnaslov"/>
    <w:basedOn w:val="Normal"/>
    <w:pPr>
      <w:shd w:val="clear" w:color="auto" w:fill="0000FF"/>
      <w:spacing w:before="240" w:after="240"/>
      <w:jc w:val="center"/>
    </w:pPr>
    <w:rPr>
      <w:sz w:val="36"/>
      <w:szCs w:val="36"/>
    </w:rPr>
  </w:style>
  <w:style w:type="paragraph" w:customStyle="1" w:styleId="podnas">
    <w:name w:val="podnas"/>
    <w:basedOn w:val="Normal"/>
    <w:pPr>
      <w:shd w:val="clear" w:color="auto" w:fill="808080"/>
      <w:spacing w:before="240" w:after="240"/>
      <w:jc w:val="center"/>
    </w:pPr>
  </w:style>
  <w:style w:type="paragraph" w:customStyle="1" w:styleId="pododeljak">
    <w:name w:val="pod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podpodnas">
    <w:name w:val="podpodnas"/>
    <w:basedOn w:val="Normal"/>
    <w:pPr>
      <w:shd w:val="clear" w:color="auto" w:fill="008080"/>
      <w:spacing w:before="240" w:after="240"/>
      <w:jc w:val="center"/>
    </w:pPr>
    <w:rPr>
      <w:rFonts w:ascii="Arial" w:hAnsi="Arial" w:cs="Arial"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pododeqak">
    <w:name w:val="pododeqak"/>
    <w:basedOn w:val="Normal"/>
    <w:pPr>
      <w:shd w:val="clear" w:color="auto" w:fill="F5F5DC"/>
      <w:spacing w:before="240" w:after="240"/>
      <w:jc w:val="center"/>
    </w:pPr>
  </w:style>
  <w:style w:type="paragraph" w:customStyle="1" w:styleId="mesto">
    <w:name w:val="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clan">
    <w:name w:val="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abrajanje">
    <w:name w:val="nabrajanje"/>
    <w:basedOn w:val="Normal"/>
    <w:pPr>
      <w:spacing w:before="450" w:after="450"/>
      <w:jc w:val="center"/>
    </w:pPr>
    <w:rPr>
      <w:rFonts w:ascii="Arial" w:hAnsi="Arial" w:cs="Arial"/>
      <w:sz w:val="27"/>
      <w:szCs w:val="27"/>
    </w:rPr>
  </w:style>
  <w:style w:type="paragraph" w:customStyle="1" w:styleId="odluciob">
    <w:name w:val="odlucio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alert">
    <w:name w:val="alert"/>
    <w:basedOn w:val="Normal"/>
    <w:pPr>
      <w:spacing w:before="450" w:after="450"/>
      <w:jc w:val="center"/>
    </w:pPr>
    <w:rPr>
      <w:rFonts w:ascii="Arial" w:hAnsi="Arial" w:cs="Arial"/>
      <w:color w:val="FF0000"/>
      <w:sz w:val="27"/>
      <w:szCs w:val="27"/>
    </w:rPr>
  </w:style>
  <w:style w:type="paragraph" w:customStyle="1" w:styleId="odlucio">
    <w:name w:val="odlucio"/>
    <w:basedOn w:val="Normal"/>
    <w:pPr>
      <w:spacing w:before="100" w:beforeAutospacing="1" w:after="100" w:afterAutospacing="1"/>
      <w:jc w:val="right"/>
    </w:pPr>
  </w:style>
  <w:style w:type="paragraph" w:customStyle="1" w:styleId="glava">
    <w:name w:val="glava"/>
    <w:basedOn w:val="Normal"/>
    <w:pPr>
      <w:spacing w:before="60" w:after="40"/>
      <w:jc w:val="center"/>
    </w:pPr>
    <w:rPr>
      <w:rFonts w:ascii="Arial" w:hAnsi="Arial" w:cs="Arial"/>
      <w:sz w:val="27"/>
      <w:szCs w:val="27"/>
    </w:rPr>
  </w:style>
  <w:style w:type="paragraph" w:customStyle="1" w:styleId="podglava">
    <w:name w:val="podglava"/>
    <w:basedOn w:val="Normal"/>
    <w:pPr>
      <w:shd w:val="clear" w:color="auto" w:fill="000080"/>
      <w:spacing w:before="240" w:after="240"/>
      <w:jc w:val="center"/>
    </w:pPr>
    <w:rPr>
      <w:b/>
      <w:bCs/>
      <w:sz w:val="29"/>
      <w:szCs w:val="29"/>
    </w:rPr>
  </w:style>
  <w:style w:type="paragraph" w:customStyle="1" w:styleId="odsek">
    <w:name w:val="odsek"/>
    <w:basedOn w:val="Normal"/>
    <w:pPr>
      <w:shd w:val="clear" w:color="auto" w:fill="C0C0C0"/>
      <w:spacing w:before="240" w:after="240"/>
      <w:jc w:val="center"/>
    </w:pPr>
    <w:rPr>
      <w:b/>
      <w:bCs/>
      <w:sz w:val="29"/>
      <w:szCs w:val="29"/>
    </w:rPr>
  </w:style>
  <w:style w:type="paragraph" w:customStyle="1" w:styleId="deo">
    <w:name w:val="deo"/>
    <w:basedOn w:val="Normal"/>
    <w:pPr>
      <w:shd w:val="clear" w:color="auto" w:fill="FF00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TEHNICKIM NORMATIVIMA ZA ZASTITU SKLADISTA OD POZARA I EKSPLOZIJA</vt:lpstr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TEHNICKIM NORMATIVIMA ZA ZASTITU SKLADISTA OD POZARA I EKSPLOZIJA</dc:title>
  <dc:subject/>
  <dc:creator>Goran</dc:creator>
  <cp:keywords/>
  <dc:description/>
  <cp:lastModifiedBy>Goran</cp:lastModifiedBy>
  <cp:revision>2</cp:revision>
  <dcterms:created xsi:type="dcterms:W3CDTF">2018-01-24T08:49:00Z</dcterms:created>
  <dcterms:modified xsi:type="dcterms:W3CDTF">2018-01-24T08:49:00Z</dcterms:modified>
</cp:coreProperties>
</file>