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6CEB">
      <w:pPr>
        <w:pStyle w:val="zakon"/>
      </w:pPr>
      <w:bookmarkStart w:id="0" w:name="_GoBack"/>
      <w:bookmarkEnd w:id="0"/>
      <w:r>
        <w:t xml:space="preserve">Pravilnik o tehničkim normativima za sisteme za odvođenje dima i toplote nastalih u požaru </w:t>
      </w:r>
    </w:p>
    <w:p w:rsidR="00000000" w:rsidRDefault="008F6CEB">
      <w:pPr>
        <w:pStyle w:val="mesto"/>
      </w:pPr>
      <w:r>
        <w:t xml:space="preserve">Pravilnik je objavljen u "Službenom listu SFRJ", br. 45/83 od 26.8.1983. godine. </w:t>
      </w:r>
    </w:p>
    <w:p w:rsidR="00000000" w:rsidRDefault="008F6CEB">
      <w:pPr>
        <w:pStyle w:val="clan"/>
      </w:pPr>
      <w:r>
        <w:t xml:space="preserve">Član 1. </w:t>
      </w:r>
    </w:p>
    <w:p w:rsidR="00000000" w:rsidRDefault="008F6CEB">
      <w:pPr>
        <w:pStyle w:val="tekst"/>
      </w:pPr>
      <w:r>
        <w:t xml:space="preserve">Ovim pravilnikom propisuju se tehnički normativi za sisteme za odvođenje, prirodnim putem, dima i toplote nastalih u požaru, koji se postavljaju na krovove zatvorenih prizemnih objekata i na krovove poslednjeg sprata u objektima sa više spratova, u kojima </w:t>
      </w:r>
      <w:r>
        <w:t xml:space="preserve">je tavanica ujedno i krov. </w:t>
      </w:r>
    </w:p>
    <w:p w:rsidR="00000000" w:rsidRDefault="008F6CEB">
      <w:pPr>
        <w:pStyle w:val="tekst"/>
      </w:pPr>
      <w:r>
        <w:t xml:space="preserve">Odredbe ovog pravilnika ne primenjuju se na: </w:t>
      </w:r>
    </w:p>
    <w:p w:rsidR="00000000" w:rsidRDefault="008F6CEB">
      <w:pPr>
        <w:pStyle w:val="tekst"/>
      </w:pPr>
      <w:r>
        <w:t xml:space="preserve">1) stepeništa; </w:t>
      </w:r>
    </w:p>
    <w:p w:rsidR="00000000" w:rsidRDefault="008F6CEB">
      <w:pPr>
        <w:pStyle w:val="tekst"/>
      </w:pPr>
      <w:r>
        <w:t xml:space="preserve">2) objekte koji se štite uređajima za gašenje požara inertnim gasovima; </w:t>
      </w:r>
    </w:p>
    <w:p w:rsidR="00000000" w:rsidRDefault="008F6CEB">
      <w:pPr>
        <w:pStyle w:val="tekst"/>
      </w:pPr>
      <w:r>
        <w:t xml:space="preserve">3) skladišta sa visokim regalima i skladišta materijala skladištenog iznad maksimalne visine </w:t>
      </w:r>
      <w:r>
        <w:t xml:space="preserve">skladištenja prema tabeli br. 4; </w:t>
      </w:r>
    </w:p>
    <w:p w:rsidR="00000000" w:rsidRDefault="008F6CEB">
      <w:pPr>
        <w:pStyle w:val="tekst"/>
      </w:pPr>
      <w:r>
        <w:t xml:space="preserve">4) dimnjake i ventilacione uređaje, koji se koriste za postizanje određenih mikroklimatskih uslova u radnim prostorijama. </w:t>
      </w:r>
    </w:p>
    <w:p w:rsidR="00000000" w:rsidRDefault="008F6CEB">
      <w:pPr>
        <w:pStyle w:val="clan"/>
      </w:pPr>
      <w:r>
        <w:t xml:space="preserve">Član 2. </w:t>
      </w:r>
    </w:p>
    <w:p w:rsidR="00000000" w:rsidRDefault="008F6CEB">
      <w:pPr>
        <w:pStyle w:val="tekst"/>
      </w:pPr>
      <w:r>
        <w:t xml:space="preserve">Niže navedeni izrazi, u smislu ovog pravilnika, imaju sledeća značenja: </w:t>
      </w:r>
    </w:p>
    <w:p w:rsidR="00000000" w:rsidRDefault="008F6CEB">
      <w:pPr>
        <w:pStyle w:val="tekst"/>
      </w:pPr>
      <w:r>
        <w:t>1) debljina bezdi</w:t>
      </w:r>
      <w:r>
        <w:t xml:space="preserve">mne zone je srednja konstrukciona visina objekta umanjena za računsku debljinu dimne zone; </w:t>
      </w:r>
    </w:p>
    <w:p w:rsidR="00000000" w:rsidRDefault="008F6CEB">
      <w:pPr>
        <w:pStyle w:val="tekst"/>
      </w:pPr>
      <w:r>
        <w:t>2) dimni podsektor je deo prostora koji zahvataju vezni i drugi građevinski elementi ispod krova, koji se spuštaju više od 25% računske debljine dimne zone i ograni</w:t>
      </w:r>
      <w:r>
        <w:t xml:space="preserve">čavaju širenje dima i toplote; </w:t>
      </w:r>
    </w:p>
    <w:p w:rsidR="00000000" w:rsidRDefault="008F6CEB">
      <w:pPr>
        <w:pStyle w:val="tekst"/>
      </w:pPr>
      <w:r>
        <w:t xml:space="preserve">3) dimni sektor je prostor ispod tavanice ili krova koji je oformljen zavesama za dim i toplotu; </w:t>
      </w:r>
    </w:p>
    <w:p w:rsidR="00000000" w:rsidRDefault="008F6CEB">
      <w:pPr>
        <w:pStyle w:val="tekst"/>
      </w:pPr>
      <w:r>
        <w:t>4) efektivna površina otvora na uređajima za odvođenje dima i toplote je površina koja se, kad su ti uređaji otvoreni, može ae</w:t>
      </w:r>
      <w:r>
        <w:t xml:space="preserve">rodinamički izračunati i odrediti; </w:t>
      </w:r>
    </w:p>
    <w:p w:rsidR="00000000" w:rsidRDefault="008F6CEB">
      <w:pPr>
        <w:pStyle w:val="tekst"/>
      </w:pPr>
      <w:r>
        <w:t xml:space="preserve">5) efektivna površina otvora na sistemu za odvođenje dima i toplote je zbir svih efektivnih površina pojedinačnih uređaja za odvođenje dima i toplote; </w:t>
      </w:r>
    </w:p>
    <w:p w:rsidR="00000000" w:rsidRDefault="008F6CEB">
      <w:pPr>
        <w:pStyle w:val="tekst"/>
      </w:pPr>
      <w:r>
        <w:t>6) računska debljina dimne zone je debljina dima prema tabeli br. 5;</w:t>
      </w:r>
      <w:r>
        <w:t xml:space="preserve"> </w:t>
      </w:r>
    </w:p>
    <w:p w:rsidR="00000000" w:rsidRDefault="008F6CEB">
      <w:pPr>
        <w:pStyle w:val="tekst"/>
      </w:pPr>
      <w:r>
        <w:t xml:space="preserve">7) sistem za odvođenje dima i toplote su svi uređaji koji namenski služe za to da, u slučaju požara, od određenog trenutka počinju da odvode dim i toplotu u određenom obimu; </w:t>
      </w:r>
    </w:p>
    <w:p w:rsidR="00000000" w:rsidRDefault="008F6CEB">
      <w:pPr>
        <w:pStyle w:val="tekst"/>
      </w:pPr>
      <w:r>
        <w:t xml:space="preserve">8) srednja konstrukciona visina je rastojanje od gornjeg nivoa poda do sredine </w:t>
      </w:r>
      <w:r>
        <w:t xml:space="preserve">između najniže i najviše tačke tavanice ili krovne konstrukcije; </w:t>
      </w:r>
    </w:p>
    <w:p w:rsidR="00000000" w:rsidRDefault="008F6CEB">
      <w:pPr>
        <w:pStyle w:val="tekst"/>
      </w:pPr>
      <w:r>
        <w:t xml:space="preserve">9) uređaji za odvođenje dima i toplote su otvori čiji se poklopci otvaraju automatski, ručno ili kombinovano i služe za odvođenje dima i toplote prirodnim putem; </w:t>
      </w:r>
    </w:p>
    <w:p w:rsidR="00000000" w:rsidRDefault="008F6CEB">
      <w:pPr>
        <w:pStyle w:val="tekst"/>
      </w:pPr>
      <w:r>
        <w:t>10) zavesa za dim i toplotu</w:t>
      </w:r>
      <w:r>
        <w:t xml:space="preserve"> je element od negorivog materijala koji vertikalno deli prostor od donje strane krova nadole do određene visine iznad poda i onemogućava širenje dima i toplote. </w:t>
      </w:r>
    </w:p>
    <w:p w:rsidR="00000000" w:rsidRDefault="008F6CEB">
      <w:pPr>
        <w:pStyle w:val="clan"/>
      </w:pPr>
      <w:r>
        <w:t xml:space="preserve">Član 3. </w:t>
      </w:r>
    </w:p>
    <w:p w:rsidR="00000000" w:rsidRDefault="008F6CEB">
      <w:pPr>
        <w:pStyle w:val="tekst"/>
      </w:pPr>
      <w:r>
        <w:t xml:space="preserve">Uređaji za odvođenje dima i toplote postavljaju se tako da onemoguće prelazak vatre </w:t>
      </w:r>
      <w:r>
        <w:t xml:space="preserve">sa jednog objekta na drugi. </w:t>
      </w:r>
    </w:p>
    <w:p w:rsidR="00000000" w:rsidRDefault="008F6CEB">
      <w:pPr>
        <w:pStyle w:val="tekst"/>
      </w:pPr>
      <w:r>
        <w:t xml:space="preserve">Najmanji razmak uređaja za odvođenje dima i toplote od zida otpornog prema požaru do 3 h iznosi 5 m , od zida otpornog prema požaru preko 3 h iznosi 7 m , a od fasadnog zida iznosi 1/8 srednje konstrukcione visine objekta. </w:t>
      </w:r>
    </w:p>
    <w:p w:rsidR="00000000" w:rsidRDefault="008F6CEB">
      <w:pPr>
        <w:pStyle w:val="tekst"/>
      </w:pPr>
      <w:r>
        <w:t>Raz</w:t>
      </w:r>
      <w:r>
        <w:t xml:space="preserve">mak uređaja za odvođenje dima i toplote međusobno i od fasadnog zida ne sme biti veći od 20 m . </w:t>
      </w:r>
    </w:p>
    <w:p w:rsidR="00000000" w:rsidRDefault="008F6CEB">
      <w:pPr>
        <w:pStyle w:val="tekst"/>
      </w:pPr>
      <w:r>
        <w:t xml:space="preserve">Uređaji za odvođenje dima i toplote u odnosu na objekte na krovu moraju biti postavljeni tako da vetar ne ometa njihov rad. </w:t>
      </w:r>
    </w:p>
    <w:p w:rsidR="00000000" w:rsidRDefault="008F6CEB">
      <w:pPr>
        <w:pStyle w:val="clan"/>
      </w:pPr>
      <w:r>
        <w:t xml:space="preserve">Član 4. </w:t>
      </w:r>
    </w:p>
    <w:p w:rsidR="00000000" w:rsidRDefault="008F6CEB">
      <w:pPr>
        <w:pStyle w:val="tekst"/>
      </w:pPr>
      <w:r>
        <w:t>Otvori uređaja za odvođen</w:t>
      </w:r>
      <w:r>
        <w:t xml:space="preserve">je dima i toplote postavljeni su pretežno prema pravcu duvanja vetra, ali tako da obezbeđuju nesmetano odvođenje dima i toplote bez obzira na pravac duvanja vetra. </w:t>
      </w:r>
    </w:p>
    <w:p w:rsidR="00000000" w:rsidRDefault="008F6CEB">
      <w:pPr>
        <w:pStyle w:val="clan"/>
      </w:pPr>
      <w:r>
        <w:t xml:space="preserve">Član 5. </w:t>
      </w:r>
    </w:p>
    <w:p w:rsidR="00000000" w:rsidRDefault="008F6CEB">
      <w:pPr>
        <w:pStyle w:val="tekst"/>
      </w:pPr>
      <w:r>
        <w:t xml:space="preserve">Ako je nagib krova do 12 </w:t>
      </w:r>
      <w:r>
        <w:rPr>
          <w:vertAlign w:val="superscript"/>
        </w:rPr>
        <w:t>o</w:t>
      </w:r>
      <w:r>
        <w:t xml:space="preserve"> </w:t>
      </w:r>
      <w:r>
        <w:t xml:space="preserve">, postavlja se najmanje jedan uređaj za odvođenje dima i toplote na svakih 200 m </w:t>
      </w:r>
      <w:r>
        <w:rPr>
          <w:vertAlign w:val="superscript"/>
        </w:rPr>
        <w:t xml:space="preserve">2 </w:t>
      </w:r>
      <w:r>
        <w:t xml:space="preserve">površine poda, na visini iznad srednje konstrukcione visine krova. </w:t>
      </w:r>
    </w:p>
    <w:p w:rsidR="00000000" w:rsidRDefault="008F6CEB">
      <w:pPr>
        <w:pStyle w:val="tekst"/>
      </w:pPr>
      <w:r>
        <w:t xml:space="preserve">Ako je nagib krova od 13 </w:t>
      </w:r>
      <w:r>
        <w:rPr>
          <w:vertAlign w:val="superscript"/>
        </w:rPr>
        <w:t>o</w:t>
      </w:r>
      <w:r>
        <w:t xml:space="preserve"> do 30 </w:t>
      </w:r>
      <w:r>
        <w:rPr>
          <w:vertAlign w:val="superscript"/>
        </w:rPr>
        <w:t xml:space="preserve">o </w:t>
      </w:r>
      <w:r>
        <w:t>, postavlja se najmanje jedan uređaj za odvođenje dima i toplote na sv</w:t>
      </w:r>
      <w:r>
        <w:t xml:space="preserve">akih 400 m </w:t>
      </w:r>
      <w:r>
        <w:rPr>
          <w:vertAlign w:val="superscript"/>
        </w:rPr>
        <w:t>2</w:t>
      </w:r>
      <w:r>
        <w:t xml:space="preserve"> </w:t>
      </w:r>
    </w:p>
    <w:p w:rsidR="00000000" w:rsidRDefault="008F6CEB">
      <w:pPr>
        <w:pStyle w:val="tekst"/>
      </w:pPr>
      <w:r>
        <w:lastRenderedPageBreak/>
        <w:t xml:space="preserve">površine poda, što je moguće više prema gornjoj konstrukcionoj visini krova, pri čemu ravan površine otvora mora biti u vodoravnom položaju. </w:t>
      </w:r>
    </w:p>
    <w:p w:rsidR="00000000" w:rsidRDefault="008F6CEB">
      <w:pPr>
        <w:pStyle w:val="tekst"/>
      </w:pPr>
      <w:r>
        <w:t>Ako krovna konstrukcija obrazuje dimne podsektore, na svaki podsektor postavlja se najmanje jedan ur</w:t>
      </w:r>
      <w:r>
        <w:t xml:space="preserve">eđaj za odvođenje dima i toplote. </w:t>
      </w:r>
    </w:p>
    <w:p w:rsidR="00000000" w:rsidRDefault="008F6CEB">
      <w:pPr>
        <w:pStyle w:val="tekst"/>
      </w:pPr>
      <w:r>
        <w:t xml:space="preserve">Uređaji za odvođenje dima i toplote ugrađuju se u šed-krovove tako da vetar ne ometa njihov rad. </w:t>
      </w:r>
    </w:p>
    <w:p w:rsidR="00000000" w:rsidRDefault="008F6CEB">
      <w:pPr>
        <w:pStyle w:val="clan"/>
      </w:pPr>
      <w:r>
        <w:t xml:space="preserve">Član 6. </w:t>
      </w:r>
    </w:p>
    <w:p w:rsidR="00000000" w:rsidRDefault="008F6CEB">
      <w:pPr>
        <w:pStyle w:val="tekst"/>
      </w:pPr>
      <w:r>
        <w:t xml:space="preserve">Dužina stranice ili prečnik otvora uređaja za odvođenje dima i toplote ne sme biti veći od 2,50 m . </w:t>
      </w:r>
    </w:p>
    <w:p w:rsidR="00000000" w:rsidRDefault="008F6CEB">
      <w:pPr>
        <w:pStyle w:val="clan"/>
      </w:pPr>
      <w:r>
        <w:t xml:space="preserve">Član 7. </w:t>
      </w:r>
    </w:p>
    <w:p w:rsidR="00000000" w:rsidRDefault="008F6CEB">
      <w:pPr>
        <w:pStyle w:val="tekst"/>
      </w:pPr>
      <w:r>
        <w:t xml:space="preserve">Ako </w:t>
      </w:r>
      <w:r>
        <w:t xml:space="preserve">se sistem za odvođenje dima i toplote aktivira i pomoću uređaja za ručno aktiviranje, takvo aktiviranje mora se izvoditi sa bezbednog mesta. </w:t>
      </w:r>
    </w:p>
    <w:p w:rsidR="00000000" w:rsidRDefault="008F6CEB">
      <w:pPr>
        <w:pStyle w:val="tekst"/>
      </w:pPr>
      <w:r>
        <w:t>Na uređaju za ručno aktiviranje sistema za odvođenje dima i toplote mora biti vidno naznačeno za koji dimni sektor</w:t>
      </w:r>
      <w:r>
        <w:t xml:space="preserve"> je namenjen i da li je aktiviran ili nije. </w:t>
      </w:r>
    </w:p>
    <w:p w:rsidR="00000000" w:rsidRDefault="008F6CEB">
      <w:pPr>
        <w:pStyle w:val="tekst"/>
      </w:pPr>
      <w:r>
        <w:t xml:space="preserve">Uređaj za ručno aktiviranje sistema za odvođenje dima i toplote mora biti zaštićen tako da ne postoji mogućnost za nenamerno aktiviranje. </w:t>
      </w:r>
    </w:p>
    <w:p w:rsidR="00000000" w:rsidRDefault="008F6CEB">
      <w:pPr>
        <w:pStyle w:val="clan"/>
      </w:pPr>
      <w:r>
        <w:t xml:space="preserve">Član 8. </w:t>
      </w:r>
    </w:p>
    <w:p w:rsidR="00000000" w:rsidRDefault="008F6CEB">
      <w:pPr>
        <w:pStyle w:val="tekst"/>
      </w:pPr>
      <w:r>
        <w:t>Pri grupnom aktiviranju sistema za odvođenje dima i toplote, is</w:t>
      </w:r>
      <w:r>
        <w:t xml:space="preserve">tovremeno se otvaraju samo uređaji za odvođenje dima i toplote iz jednog dimnog sektora. </w:t>
      </w:r>
    </w:p>
    <w:p w:rsidR="00000000" w:rsidRDefault="008F6CEB">
      <w:pPr>
        <w:pStyle w:val="tekst"/>
      </w:pPr>
      <w:r>
        <w:t xml:space="preserve">Pri automatskom grupnom aktiviranju sistema za odvođenje dima i toplote predviđa se na svakih 400 m </w:t>
      </w:r>
      <w:r>
        <w:rPr>
          <w:vertAlign w:val="superscript"/>
        </w:rPr>
        <w:t>2</w:t>
      </w:r>
      <w:r>
        <w:t xml:space="preserve"> najmanje jedan dimni ili dva termička detektora, osim na mestima</w:t>
      </w:r>
      <w:r>
        <w:t xml:space="preserve"> sa visokim požarnim opterećenjem ili sa materijama koje pospešuju požar, na koje se postavlja dodatni detektor. </w:t>
      </w:r>
    </w:p>
    <w:p w:rsidR="00000000" w:rsidRDefault="008F6CEB">
      <w:pPr>
        <w:pStyle w:val="tekst"/>
      </w:pPr>
      <w:r>
        <w:t xml:space="preserve">Detektori moraju biti postavljeni tako da su izloženi požarnim veličinama. </w:t>
      </w:r>
    </w:p>
    <w:p w:rsidR="00000000" w:rsidRDefault="008F6CEB">
      <w:pPr>
        <w:pStyle w:val="clan"/>
      </w:pPr>
      <w:r>
        <w:t xml:space="preserve">Član 9. </w:t>
      </w:r>
    </w:p>
    <w:p w:rsidR="00000000" w:rsidRDefault="008F6CEB">
      <w:pPr>
        <w:pStyle w:val="tekst"/>
      </w:pPr>
      <w:r>
        <w:t>U prostorijama koja se štite šprinkler-uređajima za gašen</w:t>
      </w:r>
      <w:r>
        <w:t xml:space="preserve">je požara, uređaji za odvođenje dima i toplote smeju se otvarati samo posle aktiviranja šprinkler-uređaja. </w:t>
      </w:r>
    </w:p>
    <w:p w:rsidR="00000000" w:rsidRDefault="008F6CEB">
      <w:pPr>
        <w:pStyle w:val="tekst"/>
      </w:pPr>
      <w:r>
        <w:t>Pri aktiviranju sistema za odvođenje dima i toplote pomoću termičkih detektora požara, nazivna temperatura termičkog detektora požara za aktiviranje</w:t>
      </w:r>
      <w:r>
        <w:t xml:space="preserve"> tog sistema mora biti za najmanje 18 </w:t>
      </w:r>
      <w:r>
        <w:rPr>
          <w:vertAlign w:val="superscript"/>
        </w:rPr>
        <w:t>o</w:t>
      </w:r>
      <w:r>
        <w:t xml:space="preserve"> S veća od nazivne temperature za aktiviranje šprinkler-uređaja. </w:t>
      </w:r>
    </w:p>
    <w:p w:rsidR="00000000" w:rsidRDefault="008F6CEB">
      <w:pPr>
        <w:pStyle w:val="clan"/>
      </w:pPr>
      <w:r>
        <w:t xml:space="preserve">Član 10. </w:t>
      </w:r>
    </w:p>
    <w:p w:rsidR="00000000" w:rsidRDefault="008F6CEB">
      <w:pPr>
        <w:pStyle w:val="tekst"/>
      </w:pPr>
      <w:r>
        <w:t>U dimnim sektorima opremljenim šprinkler-uređajima i drenčer-uređajima, detektori požara za sisteme za odvođenje dima i toplote moraju se zaš</w:t>
      </w:r>
      <w:r>
        <w:t xml:space="preserve">tititi od neposrednog prskanja vodom. </w:t>
      </w:r>
    </w:p>
    <w:p w:rsidR="00000000" w:rsidRDefault="008F6CEB">
      <w:pPr>
        <w:pStyle w:val="clan"/>
      </w:pPr>
      <w:r>
        <w:t xml:space="preserve">Član 11. </w:t>
      </w:r>
    </w:p>
    <w:p w:rsidR="00000000" w:rsidRDefault="008F6CEB">
      <w:pPr>
        <w:pStyle w:val="tekst"/>
      </w:pPr>
      <w:r>
        <w:t xml:space="preserve">Dimni sektori ne smeju biti veći od 1600 m </w:t>
      </w:r>
      <w:r>
        <w:rPr>
          <w:vertAlign w:val="superscript"/>
        </w:rPr>
        <w:t>2</w:t>
      </w:r>
      <w:r>
        <w:t xml:space="preserve"> , a dužina sektora ne sme iznositi više od 60 m . </w:t>
      </w:r>
    </w:p>
    <w:p w:rsidR="00000000" w:rsidRDefault="008F6CEB">
      <w:pPr>
        <w:pStyle w:val="clan"/>
      </w:pPr>
      <w:r>
        <w:t xml:space="preserve">Član 12. </w:t>
      </w:r>
    </w:p>
    <w:p w:rsidR="00000000" w:rsidRDefault="008F6CEB">
      <w:pPr>
        <w:pStyle w:val="tekst"/>
      </w:pPr>
      <w:r>
        <w:t>Uređaji za odvođenje dima i toplote moraju biti konstruisani i održavani tako da funkcionišu bez obzi</w:t>
      </w:r>
      <w:r>
        <w:t xml:space="preserve">ra na opterećenje usled vetra, snega ili leda. </w:t>
      </w:r>
    </w:p>
    <w:p w:rsidR="00000000" w:rsidRDefault="008F6CEB">
      <w:pPr>
        <w:pStyle w:val="clan"/>
      </w:pPr>
      <w:r>
        <w:t xml:space="preserve">Član 13. </w:t>
      </w:r>
    </w:p>
    <w:p w:rsidR="00000000" w:rsidRDefault="008F6CEB">
      <w:pPr>
        <w:pStyle w:val="tekst"/>
      </w:pPr>
      <w:r>
        <w:t xml:space="preserve">Uređaji za odvođenje dima i toplote moraju raditi i ako nastane prekid u snabdevanju energijom. </w:t>
      </w:r>
    </w:p>
    <w:p w:rsidR="00000000" w:rsidRDefault="008F6CEB">
      <w:pPr>
        <w:pStyle w:val="tekst"/>
      </w:pPr>
      <w:r>
        <w:t>Aktiviran uređaj za odvođenje dima i toplote mora ostati otvoren i ako je oštećena instalacija za sna</w:t>
      </w:r>
      <w:r>
        <w:t xml:space="preserve">bdevanje energijom. </w:t>
      </w:r>
    </w:p>
    <w:p w:rsidR="00000000" w:rsidRDefault="008F6CEB">
      <w:pPr>
        <w:pStyle w:val="clan"/>
      </w:pPr>
      <w:r>
        <w:t xml:space="preserve">Član 14. </w:t>
      </w:r>
    </w:p>
    <w:p w:rsidR="00000000" w:rsidRDefault="008F6CEB">
      <w:pPr>
        <w:pStyle w:val="tekst"/>
      </w:pPr>
      <w:r>
        <w:t xml:space="preserve">Instalacije za napajanje i aktiviranje uređaja za odvođenje dima i toplote moraju biti raspoređeni tako da su što manje izložene vatri i da izdrže povećanu temperaturu za vreme dok se uređaj ne otvori. </w:t>
      </w:r>
    </w:p>
    <w:p w:rsidR="00000000" w:rsidRDefault="008F6CEB">
      <w:pPr>
        <w:pStyle w:val="clan"/>
      </w:pPr>
      <w:r>
        <w:t xml:space="preserve">Član 15. </w:t>
      </w:r>
    </w:p>
    <w:p w:rsidR="00000000" w:rsidRDefault="008F6CEB">
      <w:pPr>
        <w:pStyle w:val="tekst"/>
      </w:pPr>
      <w:r>
        <w:t xml:space="preserve">Oko uređaja za odvođenje dima i toplote mora biti ugrađen takav materijal koji u pogledu širenja plamena po površini ima najmanje iste karakteristike kao i materijal od kog je napravljen krovni pokrivač. </w:t>
      </w:r>
    </w:p>
    <w:p w:rsidR="00000000" w:rsidRDefault="008F6CEB">
      <w:pPr>
        <w:pStyle w:val="clan"/>
      </w:pPr>
      <w:r>
        <w:t xml:space="preserve">Član 16. </w:t>
      </w:r>
    </w:p>
    <w:p w:rsidR="00000000" w:rsidRDefault="008F6CEB">
      <w:pPr>
        <w:pStyle w:val="tekst"/>
      </w:pPr>
      <w:r>
        <w:t>Zavese za dim i toplotu moraju biti stabi</w:t>
      </w:r>
      <w:r>
        <w:t xml:space="preserve">lne i nepropusne za dim i toplotu i pri porastu temperature okoline od 298 + 5 K (25 + 5 </w:t>
      </w:r>
      <w:r>
        <w:rPr>
          <w:vertAlign w:val="superscript"/>
        </w:rPr>
        <w:t>o</w:t>
      </w:r>
      <w:r>
        <w:t xml:space="preserve"> S) na 773 K (500 </w:t>
      </w:r>
      <w:r>
        <w:rPr>
          <w:vertAlign w:val="superscript"/>
        </w:rPr>
        <w:t>o</w:t>
      </w:r>
      <w:r>
        <w:t xml:space="preserve"> S) u toku 30 minuta. </w:t>
      </w:r>
    </w:p>
    <w:p w:rsidR="00000000" w:rsidRDefault="008F6CEB">
      <w:pPr>
        <w:pStyle w:val="clan"/>
      </w:pPr>
      <w:r>
        <w:t xml:space="preserve">Član 17. </w:t>
      </w:r>
    </w:p>
    <w:p w:rsidR="00000000" w:rsidRDefault="008F6CEB">
      <w:pPr>
        <w:pStyle w:val="tekst"/>
      </w:pPr>
      <w:r>
        <w:lastRenderedPageBreak/>
        <w:t>Zavese za dim i toplotu moraju činiti nepropusnu vezu sa tavanicom ili krovnim pokrivačem. Viseće tavanice ne smej</w:t>
      </w:r>
      <w:r>
        <w:t xml:space="preserve">u sprečavati funkcionisanje zavese za dim i toplotu i ne smeju ometati odvođenje dima i toplote. </w:t>
      </w:r>
    </w:p>
    <w:p w:rsidR="00000000" w:rsidRDefault="008F6CEB">
      <w:pPr>
        <w:pStyle w:val="tekst"/>
      </w:pPr>
      <w:r>
        <w:t xml:space="preserve">Zavesa za dim i toplotu spušta se u prostor najmanje toliko koliko iznosi računska visina dimne zone. </w:t>
      </w:r>
    </w:p>
    <w:p w:rsidR="00000000" w:rsidRDefault="008F6CEB">
      <w:pPr>
        <w:pStyle w:val="clan"/>
      </w:pPr>
      <w:r>
        <w:t xml:space="preserve">Član 18. </w:t>
      </w:r>
    </w:p>
    <w:p w:rsidR="00000000" w:rsidRDefault="008F6CEB">
      <w:pPr>
        <w:pStyle w:val="tekst"/>
      </w:pPr>
      <w:r>
        <w:t>Prostorija koja je opremljena sistemom za odv</w:t>
      </w:r>
      <w:r>
        <w:t xml:space="preserve">ođenje dima i toplote mora imati otvore za dovođenje svežeg vazduha čiji se poklopci, u slučaju požara, moraju što pre otvoriti. </w:t>
      </w:r>
    </w:p>
    <w:p w:rsidR="00000000" w:rsidRDefault="008F6CEB">
      <w:pPr>
        <w:pStyle w:val="clan"/>
      </w:pPr>
      <w:r>
        <w:t xml:space="preserve">Član 19. </w:t>
      </w:r>
    </w:p>
    <w:p w:rsidR="00000000" w:rsidRDefault="008F6CEB">
      <w:pPr>
        <w:pStyle w:val="tekst"/>
      </w:pPr>
      <w:r>
        <w:t>Geometrijska površina preseka otvora za dovođenje svežeg vazduha mora biti najmanje dva puta veća od geometrijske po</w:t>
      </w:r>
      <w:r>
        <w:t xml:space="preserve">vršine otvora sistema za odvođenje dima i toplote iz sektora sa najvećom efektivnom površinom otvora. </w:t>
      </w:r>
    </w:p>
    <w:p w:rsidR="00000000" w:rsidRDefault="008F6CEB">
      <w:pPr>
        <w:pStyle w:val="clan"/>
      </w:pPr>
      <w:r>
        <w:t xml:space="preserve">Član 20. </w:t>
      </w:r>
    </w:p>
    <w:p w:rsidR="00000000" w:rsidRDefault="008F6CEB">
      <w:pPr>
        <w:pStyle w:val="tekst"/>
      </w:pPr>
      <w:r>
        <w:t>Prozori i vrata ispod jedne polovine srednje konstrukcione visine objekta, koji se u slučaju požara mogu otvoriti i sa spoljašnje strane, smatr</w:t>
      </w:r>
      <w:r>
        <w:t xml:space="preserve">aju se otvorima za dovođenje svežeg vazduha. </w:t>
      </w:r>
    </w:p>
    <w:p w:rsidR="00000000" w:rsidRDefault="008F6CEB">
      <w:pPr>
        <w:pStyle w:val="tekst"/>
      </w:pPr>
      <w:r>
        <w:t xml:space="preserve">Svaka zastakljena površina koja se nalazi u donjem delu konstrukcione visine objekta i na kojoj se staklo može razbiti smatra se otvorom za dovođenje svežeg vazduha. </w:t>
      </w:r>
    </w:p>
    <w:p w:rsidR="00000000" w:rsidRDefault="008F6CEB">
      <w:pPr>
        <w:pStyle w:val="clan"/>
      </w:pPr>
      <w:r>
        <w:t xml:space="preserve">Član 21. </w:t>
      </w:r>
    </w:p>
    <w:p w:rsidR="00000000" w:rsidRDefault="008F6CEB">
      <w:pPr>
        <w:pStyle w:val="tekst"/>
      </w:pPr>
      <w:r>
        <w:t>Efektivna površina otvora na uređ</w:t>
      </w:r>
      <w:r>
        <w:t xml:space="preserve">ajima za odvođenje dima i toplote ne sme se zbog deformisanja uređaja prilikom požara smanjiti u toj meri da se dovede u pitanje njena osnovna namena. </w:t>
      </w:r>
    </w:p>
    <w:p w:rsidR="00000000" w:rsidRDefault="008F6CEB">
      <w:pPr>
        <w:pStyle w:val="clan"/>
      </w:pPr>
      <w:r>
        <w:t xml:space="preserve">Član 22. </w:t>
      </w:r>
    </w:p>
    <w:p w:rsidR="00000000" w:rsidRDefault="008F6CEB">
      <w:pPr>
        <w:pStyle w:val="tekst"/>
      </w:pPr>
      <w:r>
        <w:t>Ukupna efektivna površina otvora sistema za odvođenje dima i toplote za različite uslove, prem</w:t>
      </w:r>
      <w:r>
        <w:t xml:space="preserve">a veličini prostorije, vrsti proizvodnje ili materijala koji se skladišti, računa se prema obrascima iz čl. 23, 24. i 25. ovog pravilnika i tabelama br. 1 do br. 5. </w:t>
      </w:r>
    </w:p>
    <w:p w:rsidR="00000000" w:rsidRDefault="008F6CEB">
      <w:pPr>
        <w:pStyle w:val="tekst"/>
      </w:pPr>
      <w:r>
        <w:t>Tabele br. 1. do br. 5. iz stava 1. ovoga člana odštampane su uz ovaj pravilnik i čine nje</w:t>
      </w:r>
      <w:r>
        <w:t xml:space="preserve">gov sastavni deo. </w:t>
      </w:r>
    </w:p>
    <w:p w:rsidR="00000000" w:rsidRDefault="008F6CEB">
      <w:pPr>
        <w:pStyle w:val="clan"/>
      </w:pPr>
      <w:r>
        <w:t xml:space="preserve">Član 23. </w:t>
      </w:r>
    </w:p>
    <w:p w:rsidR="00000000" w:rsidRDefault="008F6CEB">
      <w:pPr>
        <w:pStyle w:val="tekst"/>
      </w:pPr>
      <w:r>
        <w:t xml:space="preserve">Za prostorije čija je površina poda veća od 1600 m </w:t>
      </w:r>
      <w:r>
        <w:rPr>
          <w:vertAlign w:val="superscript"/>
        </w:rPr>
        <w:t>2</w:t>
      </w:r>
      <w:r>
        <w:t xml:space="preserve"> , ukupna efektivna površina otvora na sistemu za odvođenje dima i toplote izračunava se prema sledećem obrascu: Avs = p p </w:t>
      </w:r>
    </w:p>
    <w:p w:rsidR="00000000" w:rsidRDefault="008F6CEB">
      <w:pPr>
        <w:pStyle w:val="tekst"/>
      </w:pPr>
      <w:r>
        <w:t xml:space="preserve">gde je: </w:t>
      </w:r>
    </w:p>
    <w:p w:rsidR="00000000" w:rsidRDefault="008F6CEB">
      <w:pPr>
        <w:pStyle w:val="tekst"/>
      </w:pPr>
      <w:r>
        <w:t>A vs - ukupna efektivna površina otvora si</w:t>
      </w:r>
      <w:r>
        <w:t>stema za odvođenje dima i toplote, u m</w:t>
      </w:r>
      <w:r>
        <w:rPr>
          <w:vertAlign w:val="superscript"/>
        </w:rPr>
        <w:t xml:space="preserve"> 2</w:t>
      </w:r>
      <w:r>
        <w:t xml:space="preserve"> ; </w:t>
      </w:r>
    </w:p>
    <w:p w:rsidR="00000000" w:rsidRDefault="008F6CEB">
      <w:pPr>
        <w:pStyle w:val="tekst"/>
      </w:pPr>
      <w:r>
        <w:t xml:space="preserve">p - tabelarne veličine efektivne površine otvora referentnih grupa zavisno od srednje konstrukcione visine prostorije i računske debljine dimne zone (date u tabeli br. 5), u %; </w:t>
      </w:r>
    </w:p>
    <w:p w:rsidR="00000000" w:rsidRDefault="008F6CEB">
      <w:pPr>
        <w:pStyle w:val="tekst"/>
      </w:pPr>
      <w:r>
        <w:t>Fp - površina poda prostorije za k</w:t>
      </w:r>
      <w:r>
        <w:t xml:space="preserve">oju se izračunava efektivna površina za odvođenje dima i toplote, u m </w:t>
      </w:r>
      <w:r>
        <w:rPr>
          <w:vertAlign w:val="superscript"/>
        </w:rPr>
        <w:t>2</w:t>
      </w:r>
      <w:r>
        <w:t xml:space="preserve"> . </w:t>
      </w:r>
    </w:p>
    <w:p w:rsidR="00000000" w:rsidRDefault="008F6CEB">
      <w:pPr>
        <w:pStyle w:val="clan"/>
      </w:pPr>
      <w:r>
        <w:t xml:space="preserve">Član 24. </w:t>
      </w:r>
    </w:p>
    <w:p w:rsidR="00000000" w:rsidRDefault="008F6CEB">
      <w:pPr>
        <w:pStyle w:val="tekst"/>
      </w:pPr>
      <w:r>
        <w:t>Za prostorije čija je površina poda preko 800 do 1600 m</w:t>
      </w:r>
      <w:r>
        <w:rPr>
          <w:vertAlign w:val="superscript"/>
        </w:rPr>
        <w:t>2</w:t>
      </w:r>
      <w:r>
        <w:t xml:space="preserve">, ukupna efektivna površina otvora na sistemu za odvođenje dima i toplote izračunava se prema sledećem obrascu: </w:t>
      </w:r>
    </w:p>
    <w:p w:rsidR="00000000" w:rsidRDefault="008F6CEB">
      <w:pPr>
        <w:pStyle w:val="tekst"/>
      </w:pPr>
      <w:r>
        <w:t>Av</w:t>
      </w:r>
      <w:r>
        <w:t xml:space="preserve">s = p gde oznake A vs i p imaju isto značenje kao u članu 23. ovog pravilnika. </w:t>
      </w:r>
    </w:p>
    <w:p w:rsidR="00000000" w:rsidRDefault="008F6CEB">
      <w:pPr>
        <w:pStyle w:val="clan"/>
      </w:pPr>
      <w:r>
        <w:t xml:space="preserve">Član 25. </w:t>
      </w:r>
    </w:p>
    <w:p w:rsidR="00000000" w:rsidRDefault="008F6CEB">
      <w:pPr>
        <w:pStyle w:val="tekst"/>
      </w:pPr>
      <w:r>
        <w:t xml:space="preserve">Za prostorije čija je površina poda do 800 m </w:t>
      </w:r>
      <w:r>
        <w:rPr>
          <w:vertAlign w:val="superscript"/>
        </w:rPr>
        <w:t>2</w:t>
      </w:r>
      <w:r>
        <w:t xml:space="preserve"> , ukupna efektivna površina otvora sistema za odvođenje dima i toplote izračunava se prema sledećem obrascu: </w:t>
      </w:r>
    </w:p>
    <w:p w:rsidR="00000000" w:rsidRDefault="008F6CEB">
      <w:pPr>
        <w:pStyle w:val="tekst"/>
      </w:pPr>
      <w:r>
        <w:t>Avs = (pp x 16</w:t>
      </w:r>
    </w:p>
    <w:p w:rsidR="00000000" w:rsidRDefault="008F6CEB">
      <w:pPr>
        <w:pStyle w:val="tekst"/>
      </w:pPr>
      <w:r>
        <w:t xml:space="preserve">gde oznaka A vs , p i F p imaju isto značenje kao u članu 23. ovog pravilnika. </w:t>
      </w:r>
    </w:p>
    <w:p w:rsidR="00000000" w:rsidRDefault="008F6CEB">
      <w:pPr>
        <w:pStyle w:val="clan"/>
      </w:pPr>
      <w:r>
        <w:t xml:space="preserve">Član 26. </w:t>
      </w:r>
    </w:p>
    <w:p w:rsidR="00000000" w:rsidRDefault="008F6CEB">
      <w:pPr>
        <w:pStyle w:val="tekst"/>
      </w:pPr>
      <w:r>
        <w:t>Na mestu na kome je opasnost od požara povećana usled visokog požarnog opterećenja ili zbog materija opasnih po požar, a takav slučaj nije posebno obuh</w:t>
      </w:r>
      <w:r>
        <w:t xml:space="preserve">vaćen tabelom br. 1. ili tabelom br. 2, efektivna površina sistema za odvođenje dima i toplote iznosi najmanje 6% površine poda takvog mesta. </w:t>
      </w:r>
    </w:p>
    <w:p w:rsidR="00000000" w:rsidRDefault="008F6CEB">
      <w:pPr>
        <w:pStyle w:val="clan"/>
      </w:pPr>
      <w:r>
        <w:t xml:space="preserve">Član 27. </w:t>
      </w:r>
    </w:p>
    <w:p w:rsidR="00000000" w:rsidRDefault="008F6CEB">
      <w:pPr>
        <w:pStyle w:val="tekst"/>
      </w:pPr>
      <w:r>
        <w:t>Za višenamenske prostorije sa više različitih kategorija opasnosti od požara, efektivna površina otvora</w:t>
      </w:r>
      <w:r>
        <w:t xml:space="preserve"> na sistemu za odvođenje dima i toplote izračunava se za svaki pojedini dimni sektor. </w:t>
      </w:r>
    </w:p>
    <w:p w:rsidR="00000000" w:rsidRDefault="008F6CEB">
      <w:pPr>
        <w:pStyle w:val="tekst"/>
      </w:pPr>
      <w:r>
        <w:t xml:space="preserve">Ako zbog tehnološkog procesa u višenamenskoj prostoriji nije moguća podela na dimne sektore, za izračunavanje se uzima najveća kategorija opasnosti od požara i dobijena </w:t>
      </w:r>
      <w:r>
        <w:t xml:space="preserve">efektivna </w:t>
      </w:r>
      <w:r>
        <w:lastRenderedPageBreak/>
        <w:t xml:space="preserve">površina otvora sistema za odvođenje dima i toplote prema tabeli br. 5 povećava se za 30% za krovove sa nagibom do 12 </w:t>
      </w:r>
      <w:r>
        <w:rPr>
          <w:vertAlign w:val="superscript"/>
        </w:rPr>
        <w:t>o</w:t>
      </w:r>
      <w:r>
        <w:t xml:space="preserve"> , a za 50% za krovove sa nagibom preko 12 </w:t>
      </w:r>
      <w:r>
        <w:rPr>
          <w:vertAlign w:val="superscript"/>
        </w:rPr>
        <w:t>o</w:t>
      </w:r>
      <w:r>
        <w:t xml:space="preserve"> do 30 </w:t>
      </w:r>
      <w:r>
        <w:rPr>
          <w:vertAlign w:val="superscript"/>
        </w:rPr>
        <w:t>o</w:t>
      </w:r>
      <w:r>
        <w:t xml:space="preserve"> . </w:t>
      </w:r>
    </w:p>
    <w:p w:rsidR="00000000" w:rsidRDefault="008F6CEB">
      <w:pPr>
        <w:pStyle w:val="tekst"/>
      </w:pPr>
      <w:r>
        <w:t>Pri određivanju tabelarne vrednosti iz stava 2. ovog člana uzima se naj</w:t>
      </w:r>
      <w:r>
        <w:t xml:space="preserve">manja računska debljina dimne zone prema tabeli br. 5. </w:t>
      </w:r>
    </w:p>
    <w:p w:rsidR="00000000" w:rsidRDefault="008F6CEB">
      <w:pPr>
        <w:pStyle w:val="clan"/>
      </w:pPr>
      <w:r>
        <w:t xml:space="preserve">Član 28. </w:t>
      </w:r>
    </w:p>
    <w:p w:rsidR="00000000" w:rsidRDefault="008F6CEB">
      <w:pPr>
        <w:pStyle w:val="tekst"/>
      </w:pPr>
      <w:r>
        <w:t>Za prostorije, odnosno dimni sektor sa promenljivom kategorijom opasnosti od požara, za izračunavanje efektivne površine otvora sistema za odvođenje dima i toplote uzima se kategorija najveć</w:t>
      </w:r>
      <w:r>
        <w:t xml:space="preserve">e opasnosti od požara. </w:t>
      </w:r>
    </w:p>
    <w:p w:rsidR="00000000" w:rsidRDefault="008F6CEB">
      <w:pPr>
        <w:pStyle w:val="clan"/>
      </w:pPr>
      <w:r>
        <w:t xml:space="preserve">Član 29. </w:t>
      </w:r>
    </w:p>
    <w:p w:rsidR="00000000" w:rsidRDefault="008F6CEB">
      <w:pPr>
        <w:pStyle w:val="tekst"/>
      </w:pPr>
      <w:r>
        <w:t xml:space="preserve">U prostorijama srednje konstrukcione visine do 6 m najmanja debljina bezdimne zone iznosi 3 m , a u prostorijama srednje konstrukcione visine preko 6 m - najmanje polovinu srednje konstrukcione visine prostorije. </w:t>
      </w:r>
    </w:p>
    <w:p w:rsidR="00000000" w:rsidRDefault="008F6CEB">
      <w:pPr>
        <w:pStyle w:val="tekst"/>
      </w:pPr>
      <w:r>
        <w:t>U prosto</w:t>
      </w:r>
      <w:r>
        <w:t xml:space="preserve">rijama do 6 m računska visina dimne zone iznosi najmanje 25% srednje konstrukcione visine, a u prostorijama preko 6 m srednje konstrukcione visine - najmanje 2 m . </w:t>
      </w:r>
    </w:p>
    <w:p w:rsidR="00000000" w:rsidRDefault="008F6CEB">
      <w:pPr>
        <w:pStyle w:val="clan"/>
      </w:pPr>
      <w:r>
        <w:t xml:space="preserve">Član 30. </w:t>
      </w:r>
    </w:p>
    <w:p w:rsidR="00000000" w:rsidRDefault="008F6CEB">
      <w:pPr>
        <w:pStyle w:val="tekst"/>
      </w:pPr>
      <w:r>
        <w:t>Sistem za odvođenje dima i toplote mora imati tehničko uputstvo koje mora sadržav</w:t>
      </w:r>
      <w:r>
        <w:t>ati tehničke i druge podatke značajne za ispravno montiranje, puštanje u pogon i upotrebu i za otklanjanje smetnji kvarova, upozorenje na opasnost pri upotrebi i uputstvo za otklanjanje tih opasnosti, kao i uputstvo za rukovanje tim sistemom i održavanje t</w:t>
      </w:r>
      <w:r>
        <w:t xml:space="preserve">og sistema. </w:t>
      </w:r>
    </w:p>
    <w:p w:rsidR="00000000" w:rsidRDefault="008F6CEB">
      <w:pPr>
        <w:pStyle w:val="clan"/>
      </w:pPr>
      <w:r>
        <w:t xml:space="preserve">Član 31. </w:t>
      </w:r>
    </w:p>
    <w:p w:rsidR="00000000" w:rsidRDefault="008F6CEB">
      <w:pPr>
        <w:pStyle w:val="tekst"/>
      </w:pPr>
      <w:r>
        <w:t xml:space="preserve">Ovaj pravilnik stupa na snagu po isteku jedne godine od dana objavljivanja u "Službenom listu SFRJ". </w:t>
      </w:r>
    </w:p>
    <w:p w:rsidR="00000000" w:rsidRDefault="008F6CEB">
      <w:pPr>
        <w:pStyle w:val="odluciob"/>
      </w:pPr>
      <w:r>
        <w:t xml:space="preserve">Tabela br. 1 </w:t>
      </w:r>
    </w:p>
    <w:p w:rsidR="00000000" w:rsidRDefault="008F6CEB">
      <w:pPr>
        <w:pStyle w:val="naslov"/>
      </w:pPr>
      <w:r>
        <w:t xml:space="preserve">RAZVRSTAVANjE OBJEKATA PREMA OPASNOSTI OD POŽARA </w:t>
      </w:r>
    </w:p>
    <w:tbl>
      <w:tblPr>
        <w:tblW w:w="519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1"/>
        <w:gridCol w:w="2389"/>
      </w:tblGrid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Namena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Kategorija opasnosti od požara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Arhivi filmova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Auto-radionice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Bioskopi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Bojadisaonice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Ciglane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Destilacija alkohola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Garaže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Grafitna industrija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Hngari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Hemijske čistionice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Knjigoveznice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Koncertne sale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>  </w:t>
            </w:r>
            <w:r>
              <w:t xml:space="preserve">Konfekcije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Mlinovi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Predionice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Računski centri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Robne kuće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Studiji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Vulkanizacija gume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Fabrike za proizvodnju: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akumulatora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alkoholnih pića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aluminijuma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aluminijumskih prozora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aparata za gašenje požara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aviona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boja i lakova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brizgane plastike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celuloze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čokolade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drvenih i plastičnih prozora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dušeka bez penastog materijala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dušeka sa penastim materijalom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električnih mašina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električnog alata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elektronskih uređaja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foto-materijala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frižidera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furnira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gramofonskih ploča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gumenih proizvoda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hemijskih boja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*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hleba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hrane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kablova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kartona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keramike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konzervi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kozmetike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kožnih proizvoda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krovne lepenke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lepka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likera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limenih proizvoda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linoleuma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masti i pasta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mašina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mleka u prahu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montažnih kuća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motocikla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municije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nameštaja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nitroceluloze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obuće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odeće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oružja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papira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parketa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piva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peciva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penaste gume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penastog materijala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porculana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posteljine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radijatora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razređivača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satova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sintetičkih tkanina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sirćetne kiseline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sredstava za pranje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sode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stakla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stočne hrane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sušenog povrća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svile (prirodne i veštačke)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šećera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šibica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tekstila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tepiha (negumiranih)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tepiha (gumiranih)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testenina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točkova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ukrasa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2,1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vagona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veša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veštačke supe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voska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vrata (metalnih)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vrata (drvenih i plastičnih)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Prerada: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aluminijuma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*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bitumena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drveta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duvana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gume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jute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kafe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kakaa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katrana, smola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konoplje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krzna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lakog metala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starog papira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starog ulja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uglja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700" w:type="pct"/>
            <w:hideMark/>
          </w:tcPr>
          <w:p w:rsidR="00000000" w:rsidRDefault="008F6CEB">
            <w:pPr>
              <w:pStyle w:val="NormalWeb"/>
            </w:pPr>
            <w:r>
              <w:t xml:space="preserve">  vune </w:t>
            </w:r>
          </w:p>
        </w:tc>
        <w:tc>
          <w:tcPr>
            <w:tcW w:w="23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 </w:t>
            </w:r>
          </w:p>
        </w:tc>
      </w:tr>
    </w:tbl>
    <w:p w:rsidR="00000000" w:rsidRDefault="008F6CEB">
      <w:pPr>
        <w:pStyle w:val="tekst"/>
      </w:pPr>
      <w:r>
        <w:t xml:space="preserve">* Određivanje kategorije opasnosti od požara prema stvarnim kategorijama opasnosti od požara </w:t>
      </w:r>
    </w:p>
    <w:p w:rsidR="00000000" w:rsidRDefault="008F6CEB">
      <w:pPr>
        <w:pStyle w:val="odluciob"/>
      </w:pPr>
      <w:r>
        <w:t xml:space="preserve">Tabela br. 2 </w:t>
      </w:r>
    </w:p>
    <w:p w:rsidR="00000000" w:rsidRDefault="008F6CEB">
      <w:pPr>
        <w:pStyle w:val="naslov"/>
      </w:pPr>
      <w:r>
        <w:t xml:space="preserve">RAZVRSTAVANjE PREMA GRUPI SKLADIŠNOG MATERIJALA </w:t>
      </w:r>
    </w:p>
    <w:tbl>
      <w:tblPr>
        <w:tblW w:w="561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6"/>
        <w:gridCol w:w="2694"/>
      </w:tblGrid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lastRenderedPageBreak/>
              <w:t xml:space="preserve">Skladišni materijal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Grupa skladišnog materijala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Akumulatori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Alkoholno piće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Asfalt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Bitumen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Boce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Brašno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Celuloid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Drvena vuna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Drvo - balvani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Drvo - cepanice, letve i sl.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Duvanski proizvodi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Električni aparati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Električni materijal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Električni uređaji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Filc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Gumeni proizvodi (kompaktni)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Gumeni proizvodi (penasti)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Hemijska sredstva, negoriva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Hrana u čašama i konzervama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Hrana u ostaloj ambalaži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Iverice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Juta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Kabl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Knjige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Keramika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Konac od prirodnih vlakana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Konac od sintetičkih vlakana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Krovna lepenka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Masti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Mašine za pranje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Materijal od čelika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Metalni proizvodi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Mleko u prahu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Nameštaj koji nije od plastike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Palete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Pamuk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Papir, lepenka (u rolnama - vertikalno)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Papir, lepenka (u rolnama - horizontalno)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Papir u tabacima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Penasta guma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Pivo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Platno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Plastični materijal (nepenaste ploče)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>  </w:t>
            </w:r>
            <w:r>
              <w:t xml:space="preserve">Plastični materijal (granulat, prah, folije)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Plastični materijal (penasti)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Pluta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Porculan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Prirodna koža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Prirodna vlakna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Proizvodi drveni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Proizvodi metalni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Proizvodi plastični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Proizvodi od lima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Proizvodi od papira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Sapun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Sredstva za pranje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Staklo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Stočna hrana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Suve baterije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Šibice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Šper-ploče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Špiritus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Ulje rastvorno u vodi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Ulje nerastvorno u vodi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Ulje, jestivo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 Valovita lepenka (horizontalno skladištena)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Valovita lepenka (vertikalno skladištena)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Vrata, metalna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Vrata, drvena ili plastična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Vosak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Žica, izolovana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t xml:space="preserve">  Žica, neizolovana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260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 Žito </w:t>
            </w:r>
          </w:p>
        </w:tc>
        <w:tc>
          <w:tcPr>
            <w:tcW w:w="24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</w:tbl>
    <w:p w:rsidR="00000000" w:rsidRDefault="008F6CEB">
      <w:pPr>
        <w:pStyle w:val="odluciob"/>
      </w:pPr>
      <w:r>
        <w:t xml:space="preserve">Tabela br. 3 </w:t>
      </w:r>
    </w:p>
    <w:p w:rsidR="00000000" w:rsidRDefault="008F6CEB">
      <w:pPr>
        <w:pStyle w:val="naslov"/>
      </w:pPr>
      <w:r>
        <w:t xml:space="preserve">RAZVRSTAVANjE SKLADIŠTENOG MATERIJALA U KATEGORIJE OPASNOSTI OD POŽARA ZAVISNO OD GRUPE AMBALAŽE </w:t>
      </w:r>
    </w:p>
    <w:tbl>
      <w:tblPr>
        <w:tblW w:w="885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8"/>
        <w:gridCol w:w="1502"/>
        <w:gridCol w:w="1502"/>
        <w:gridCol w:w="1502"/>
        <w:gridCol w:w="1502"/>
        <w:gridCol w:w="1334"/>
      </w:tblGrid>
      <w:tr w:rsidR="00000000">
        <w:trPr>
          <w:tblCellSpacing w:w="7" w:type="dxa"/>
          <w:jc w:val="center"/>
        </w:trPr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Skladišteni materijal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Grupa ambalaže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R1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R2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700" w:type="pct"/>
            <w:gridSpan w:val="2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S1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700" w:type="pct"/>
            <w:gridSpan w:val="2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S2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700" w:type="pct"/>
            <w:gridSpan w:val="2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S3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700" w:type="pct"/>
            <w:gridSpan w:val="2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S4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  <w:tc>
          <w:tcPr>
            <w:tcW w:w="8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</w:tr>
    </w:tbl>
    <w:p w:rsidR="00000000" w:rsidRDefault="008F6CEB">
      <w:pPr>
        <w:pStyle w:val="tekst"/>
      </w:pPr>
      <w:r>
        <w:t>Grupa skladištenog materijala: S1 Nezapaljiv skladišteni materijal i prehrambeni proizvodi u čašama i konzervama. S2 Teško i srednje teško zapaljiv skladišteni materijal, kao što su drvo, papir, karton i sintetički materijal u masivnom obliku. Penast</w:t>
      </w:r>
      <w:r>
        <w:t xml:space="preserve">i materijal može biti do 15% bruto-zapremine prevučen nezapaljivim materijalom. </w:t>
      </w:r>
    </w:p>
    <w:p w:rsidR="00000000" w:rsidRDefault="008F6CEB">
      <w:pPr>
        <w:pStyle w:val="tekst"/>
      </w:pPr>
      <w:r>
        <w:t>Izuzeti su papir i karton u rolnama skladišteni vertikalno. S3 Lako zapaljiv skladišteni materijal (papir i karton u rolnama skladišten vertikalno), složeno drvo koje propušta</w:t>
      </w:r>
      <w:r>
        <w:t xml:space="preserve"> vazduh, skladišteni materijal sa penastim materijalom do 15% bruto-zapremine ili nezapaljiv materijal prevučen penastim materijalom do 30% bruto-zapremine. S4 Skladišteni materijal sa većim delom penastog materijala nego što je predviđeno za grupu S3. </w:t>
      </w:r>
    </w:p>
    <w:p w:rsidR="00000000" w:rsidRDefault="008F6CEB">
      <w:pPr>
        <w:pStyle w:val="naslov"/>
      </w:pPr>
      <w:r>
        <w:t>GR</w:t>
      </w:r>
      <w:r>
        <w:t xml:space="preserve">UPA AMBALAŽE </w:t>
      </w:r>
    </w:p>
    <w:p w:rsidR="00000000" w:rsidRDefault="008F6CEB">
      <w:pPr>
        <w:pStyle w:val="tekst"/>
      </w:pPr>
      <w:r>
        <w:t xml:space="preserve">R1 </w:t>
      </w:r>
    </w:p>
    <w:p w:rsidR="00000000" w:rsidRDefault="008F6CEB">
      <w:pPr>
        <w:pStyle w:val="tekst"/>
      </w:pPr>
      <w:r>
        <w:t>Nezapaljiva ambalaža, drvene palete i zapaljiv zaštitni ram čija površina ne sme biti veća od 20% površine pakovanog materijala. Ako je zaštitni ram od penastog materijala, površina rama ne sme prelaziti 5% površine skladištenog materijal</w:t>
      </w:r>
      <w:r>
        <w:t xml:space="preserve">a. Ako je zaštitni ram od penastog materijala prekriven zapaljivim ili nezapaljivim materijalom, površina rama ne sme prelaziti 10% površine skladištenog materijala. </w:t>
      </w:r>
    </w:p>
    <w:p w:rsidR="00000000" w:rsidRDefault="008F6CEB">
      <w:pPr>
        <w:pStyle w:val="tekst"/>
      </w:pPr>
      <w:r>
        <w:t xml:space="preserve">R2 </w:t>
      </w:r>
    </w:p>
    <w:p w:rsidR="00000000" w:rsidRDefault="008F6CEB">
      <w:pPr>
        <w:pStyle w:val="tekst"/>
      </w:pPr>
      <w:r>
        <w:t>Drvene kutije, drvene palete, ambalaža od drveta, papira talasastog kartona i veštačkog materijala koji nije penast. Penast materijal upotrebljava se kao zaštitni ram do 5% površine pakovanog materijala, a ako je zaštitni ram između kutije i kartona, površ</w:t>
      </w:r>
      <w:r>
        <w:t xml:space="preserve">ina penastog materijala može iznositi do 10% površine pakovanog materijala. </w:t>
      </w:r>
    </w:p>
    <w:p w:rsidR="00000000" w:rsidRDefault="008F6CEB">
      <w:pPr>
        <w:pStyle w:val="tekst"/>
      </w:pPr>
      <w:r>
        <w:t xml:space="preserve">R3 </w:t>
      </w:r>
    </w:p>
    <w:p w:rsidR="00000000" w:rsidRDefault="008F6CEB">
      <w:pPr>
        <w:pStyle w:val="tekst"/>
      </w:pPr>
      <w:r>
        <w:t xml:space="preserve">Pakovanje na načine predviđene pod R1 i R2 u odnosu na penasti materijal. Zapremina penastog materijala za pakovanje u odnosu na zapreminu skladištenog materijala ne sme biti </w:t>
      </w:r>
      <w:r>
        <w:t xml:space="preserve">veća od 15%. Zapremina penastog materijala između kutije ili kartona i skladištenog materijala ne sme biti veća od 30%. </w:t>
      </w:r>
    </w:p>
    <w:p w:rsidR="00000000" w:rsidRDefault="008F6CEB">
      <w:pPr>
        <w:pStyle w:val="tekst"/>
      </w:pPr>
      <w:r>
        <w:t xml:space="preserve">R4 </w:t>
      </w:r>
    </w:p>
    <w:p w:rsidR="00000000" w:rsidRDefault="008F6CEB">
      <w:pPr>
        <w:pStyle w:val="tekst"/>
      </w:pPr>
      <w:r>
        <w:t xml:space="preserve">Pakovanje sa većim delom penastog materijala nego što je predviđeno za grupe R1 do R3. </w:t>
      </w:r>
    </w:p>
    <w:p w:rsidR="00000000" w:rsidRDefault="008F6CEB">
      <w:pPr>
        <w:pStyle w:val="odluciob"/>
      </w:pPr>
      <w:r>
        <w:t xml:space="preserve">Tabela br. 4 </w:t>
      </w:r>
    </w:p>
    <w:p w:rsidR="00000000" w:rsidRDefault="008F6CEB">
      <w:pPr>
        <w:pStyle w:val="naslov"/>
      </w:pPr>
      <w:r>
        <w:t>RASPORED KATEGORIJA OPASNOSTI</w:t>
      </w:r>
      <w:r>
        <w:t xml:space="preserve"> OD POŽARA ZA REFERENTNU GRUPU IZ TABELE BR. 5 </w:t>
      </w:r>
    </w:p>
    <w:tbl>
      <w:tblPr>
        <w:tblW w:w="576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1725"/>
        <w:gridCol w:w="1789"/>
      </w:tblGrid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Kategorija opasnosti od požara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Maksimalna visina </w:t>
            </w:r>
            <w:r>
              <w:lastRenderedPageBreak/>
              <w:t xml:space="preserve">skladištenja, u m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lastRenderedPageBreak/>
              <w:t xml:space="preserve">Referentna grupa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2.1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2.2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3.1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3.2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4.1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4.1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7,6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4.2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4.2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5,9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4.2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6,3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4.3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4.4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4.4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4.4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4.4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19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4.4 </w:t>
            </w:r>
          </w:p>
        </w:tc>
        <w:tc>
          <w:tcPr>
            <w:tcW w:w="15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 </w:t>
            </w:r>
          </w:p>
        </w:tc>
        <w:tc>
          <w:tcPr>
            <w:tcW w:w="160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 </w:t>
            </w:r>
          </w:p>
        </w:tc>
      </w:tr>
    </w:tbl>
    <w:p w:rsidR="00000000" w:rsidRDefault="008F6CEB">
      <w:pPr>
        <w:pStyle w:val="odluciob"/>
      </w:pPr>
      <w:r>
        <w:t xml:space="preserve">Tabela br. 5 </w:t>
      </w:r>
    </w:p>
    <w:p w:rsidR="00000000" w:rsidRDefault="008F6CEB">
      <w:pPr>
        <w:pStyle w:val="naslov"/>
      </w:pPr>
      <w:r>
        <w:t xml:space="preserve">TABELA EFEKTIVNIH OTVORA ZA ODVOĐENjE DIMA I TOPLOTE NASTALIH U POŽARU DATA JE U OSTACIMA % POVRŠINE PODA PROSTORIJE ZAVISNO OD SREDNjE KONSTRUKCIONE VISINE </w:t>
      </w:r>
      <w:r>
        <w:lastRenderedPageBreak/>
        <w:t xml:space="preserve">OBJEKTA I RAČUNSKE DEBLjINE DIMNE ZONE I OD IZMERENE GRUPE DOBIJENE U TABELI BR. 4 </w:t>
      </w:r>
    </w:p>
    <w:p w:rsidR="00000000" w:rsidRDefault="008F6CEB">
      <w:pPr>
        <w:pStyle w:val="tekst"/>
      </w:pPr>
      <w:r>
        <w:t>A - srednja kon</w:t>
      </w:r>
      <w:r>
        <w:t xml:space="preserve">strukciona visina objekta, u m </w:t>
      </w:r>
    </w:p>
    <w:p w:rsidR="00000000" w:rsidRDefault="008F6CEB">
      <w:pPr>
        <w:pStyle w:val="tekst"/>
      </w:pPr>
      <w:r>
        <w:t xml:space="preserve">V - računska debljina dimne zone, u m </w:t>
      </w:r>
    </w:p>
    <w:tbl>
      <w:tblPr>
        <w:tblW w:w="885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972"/>
        <w:gridCol w:w="972"/>
        <w:gridCol w:w="972"/>
        <w:gridCol w:w="972"/>
        <w:gridCol w:w="972"/>
        <w:gridCol w:w="972"/>
        <w:gridCol w:w="972"/>
        <w:gridCol w:w="1066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9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 %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vMerge w:val="restar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A </w:t>
            </w:r>
          </w:p>
        </w:tc>
        <w:tc>
          <w:tcPr>
            <w:tcW w:w="550" w:type="pct"/>
            <w:vMerge w:val="restar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V </w:t>
            </w:r>
          </w:p>
        </w:tc>
        <w:tc>
          <w:tcPr>
            <w:tcW w:w="3900" w:type="pct"/>
            <w:gridSpan w:val="7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Referentna grupa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00000" w:rsidRDefault="008F6CEB"/>
        </w:tc>
        <w:tc>
          <w:tcPr>
            <w:tcW w:w="0" w:type="auto"/>
            <w:vMerge/>
            <w:vAlign w:val="center"/>
            <w:hideMark/>
          </w:tcPr>
          <w:p w:rsidR="00000000" w:rsidRDefault="008F6CEB"/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1,68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10,0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10,5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4,92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11,0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4,84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11,5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5,81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12,0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2,51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3,72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4,03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4,76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5,20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5,69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6,27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12,5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13,0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13,5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1,39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14,0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0,70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2,50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14,5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15,0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3,88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15,5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1,59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lastRenderedPageBreak/>
              <w:t xml:space="preserve">16,0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16,5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3,24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17,0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1,16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1,84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17,5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18,0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2,67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4,10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18,5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1,23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3,25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19,0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> 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6,11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4,60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lastRenderedPageBreak/>
              <w:t xml:space="preserve">19,5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9,75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3,22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5,10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6,40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3,64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4,49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7,34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6,87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20,0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10,00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9,00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0,94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1,24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2,21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2,43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1,17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1,52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2,67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1,45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1,85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3,22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1,62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2,78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1,36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2,28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4,30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lastRenderedPageBreak/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>2,27</w:t>
            </w:r>
            <w:r>
              <w:t xml:space="preserve">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2,83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3,18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5,29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2,90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3,59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4,72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5,93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3,33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4,09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5,35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6,70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2,50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3,86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4,73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6,15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7,66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2,00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4,56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5,57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7,20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  <w:jc w:val="center"/>
            </w:pPr>
            <w:r>
              <w:t xml:space="preserve">8,94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  <w:tc>
          <w:tcPr>
            <w:tcW w:w="550" w:type="pct"/>
            <w:hideMark/>
          </w:tcPr>
          <w:p w:rsidR="00000000" w:rsidRDefault="008F6CEB">
            <w:pPr>
              <w:pStyle w:val="NormalWeb"/>
            </w:pPr>
            <w:r>
              <w:t xml:space="preserve">  </w:t>
            </w:r>
          </w:p>
        </w:tc>
      </w:tr>
    </w:tbl>
    <w:p w:rsidR="008F6CEB" w:rsidRDefault="008F6CEB">
      <w:pPr>
        <w:rPr>
          <w:rFonts w:eastAsia="Times New Roman"/>
        </w:rPr>
      </w:pPr>
    </w:p>
    <w:sectPr w:rsidR="008F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2951"/>
    <w:rsid w:val="008F6CEB"/>
    <w:rsid w:val="00A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01D67-8F1F-4B50-B08F-4D66A33A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paragraph" w:customStyle="1" w:styleId="tekst">
    <w:name w:val="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zakon">
    <w:name w:val="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naslov">
    <w:name w:val="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podnadnaslov">
    <w:name w:val="podnadnaslov"/>
    <w:basedOn w:val="Normal"/>
    <w:pPr>
      <w:spacing w:before="100"/>
      <w:jc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nadnaslov">
    <w:name w:val="nadnaslov"/>
    <w:basedOn w:val="Normal"/>
    <w:pPr>
      <w:shd w:val="clear" w:color="auto" w:fill="0000FF"/>
      <w:spacing w:before="240" w:after="240"/>
      <w:jc w:val="center"/>
    </w:pPr>
    <w:rPr>
      <w:sz w:val="36"/>
      <w:szCs w:val="36"/>
    </w:rPr>
  </w:style>
  <w:style w:type="paragraph" w:customStyle="1" w:styleId="podnas">
    <w:name w:val="podnas"/>
    <w:basedOn w:val="Normal"/>
    <w:pPr>
      <w:shd w:val="clear" w:color="auto" w:fill="808080"/>
      <w:spacing w:before="240" w:after="240"/>
      <w:jc w:val="center"/>
    </w:pPr>
  </w:style>
  <w:style w:type="paragraph" w:customStyle="1" w:styleId="pododeljak">
    <w:name w:val="pod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podpodnas">
    <w:name w:val="podpodnas"/>
    <w:basedOn w:val="Normal"/>
    <w:pPr>
      <w:shd w:val="clear" w:color="auto" w:fill="008080"/>
      <w:spacing w:before="240" w:after="240"/>
      <w:jc w:val="center"/>
    </w:pPr>
    <w:rPr>
      <w:rFonts w:ascii="Arial" w:hAnsi="Arial" w:cs="Arial"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pododeqak">
    <w:name w:val="pododeqak"/>
    <w:basedOn w:val="Normal"/>
    <w:pPr>
      <w:shd w:val="clear" w:color="auto" w:fill="F5F5DC"/>
      <w:spacing w:before="240" w:after="240"/>
      <w:jc w:val="center"/>
    </w:pPr>
  </w:style>
  <w:style w:type="paragraph" w:customStyle="1" w:styleId="mesto">
    <w:name w:val="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clan">
    <w:name w:val="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abrajanje">
    <w:name w:val="nabrajanje"/>
    <w:basedOn w:val="Normal"/>
    <w:pPr>
      <w:spacing w:before="450" w:after="450"/>
      <w:jc w:val="center"/>
    </w:pPr>
    <w:rPr>
      <w:rFonts w:ascii="Arial" w:hAnsi="Arial" w:cs="Arial"/>
      <w:sz w:val="27"/>
      <w:szCs w:val="27"/>
    </w:rPr>
  </w:style>
  <w:style w:type="paragraph" w:customStyle="1" w:styleId="odluciob">
    <w:name w:val="odluciob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alert">
    <w:name w:val="alert"/>
    <w:basedOn w:val="Normal"/>
    <w:pPr>
      <w:spacing w:before="450" w:after="450"/>
      <w:jc w:val="center"/>
    </w:pPr>
    <w:rPr>
      <w:rFonts w:ascii="Arial" w:hAnsi="Arial" w:cs="Arial"/>
      <w:color w:val="FF0000"/>
      <w:sz w:val="27"/>
      <w:szCs w:val="27"/>
    </w:rPr>
  </w:style>
  <w:style w:type="paragraph" w:customStyle="1" w:styleId="odlucio">
    <w:name w:val="odlucio"/>
    <w:basedOn w:val="Normal"/>
    <w:pPr>
      <w:spacing w:before="100" w:beforeAutospacing="1" w:after="100" w:afterAutospacing="1"/>
      <w:jc w:val="right"/>
    </w:pPr>
  </w:style>
  <w:style w:type="paragraph" w:customStyle="1" w:styleId="glava">
    <w:name w:val="glava"/>
    <w:basedOn w:val="Normal"/>
    <w:pPr>
      <w:spacing w:before="60" w:after="40"/>
      <w:jc w:val="center"/>
    </w:pPr>
    <w:rPr>
      <w:rFonts w:ascii="Arial" w:hAnsi="Arial" w:cs="Arial"/>
      <w:sz w:val="27"/>
      <w:szCs w:val="27"/>
    </w:rPr>
  </w:style>
  <w:style w:type="paragraph" w:customStyle="1" w:styleId="podglava">
    <w:name w:val="podglava"/>
    <w:basedOn w:val="Normal"/>
    <w:pPr>
      <w:shd w:val="clear" w:color="auto" w:fill="000080"/>
      <w:spacing w:before="240" w:after="240"/>
      <w:jc w:val="center"/>
    </w:pPr>
    <w:rPr>
      <w:b/>
      <w:bCs/>
      <w:sz w:val="29"/>
      <w:szCs w:val="29"/>
    </w:rPr>
  </w:style>
  <w:style w:type="paragraph" w:customStyle="1" w:styleId="odsek">
    <w:name w:val="odsek"/>
    <w:basedOn w:val="Normal"/>
    <w:pPr>
      <w:shd w:val="clear" w:color="auto" w:fill="C0C0C0"/>
      <w:spacing w:before="240" w:after="240"/>
      <w:jc w:val="center"/>
    </w:pPr>
    <w:rPr>
      <w:b/>
      <w:bCs/>
      <w:sz w:val="29"/>
      <w:szCs w:val="29"/>
    </w:rPr>
  </w:style>
  <w:style w:type="paragraph" w:customStyle="1" w:styleId="deo">
    <w:name w:val="deo"/>
    <w:basedOn w:val="Normal"/>
    <w:pPr>
      <w:shd w:val="clear" w:color="auto" w:fill="FF00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TEHNICKIM NORMATIVIMA ZA SISTEME ZA ODVODJENJE DIMA I TOPLOTE NASTALIH U POZARU</vt:lpstr>
    </vt:vector>
  </TitlesOfParts>
  <Company/>
  <LinksUpToDate>false</LinksUpToDate>
  <CharactersWithSpaces>43372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TEHNICKIM NORMATIVIMA ZA SISTEME ZA ODVODJENJE DIMA I TOPLOTE NASTALIH U POZARU</dc:title>
  <dc:subject/>
  <dc:creator>Goran</dc:creator>
  <cp:keywords/>
  <dc:description/>
  <cp:lastModifiedBy>Goran</cp:lastModifiedBy>
  <cp:revision>3</cp:revision>
  <dcterms:created xsi:type="dcterms:W3CDTF">2018-01-24T08:51:00Z</dcterms:created>
  <dcterms:modified xsi:type="dcterms:W3CDTF">2018-01-24T08:51:00Z</dcterms:modified>
</cp:coreProperties>
</file>