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744C">
      <w:pPr>
        <w:pStyle w:val="zakon"/>
      </w:pPr>
      <w:bookmarkStart w:id="0" w:name="_GoBack"/>
      <w:bookmarkEnd w:id="0"/>
      <w:r>
        <w:t xml:space="preserve">Pravilnik o tehničkim normativima za stabilne instalacije za dojavu požara </w:t>
      </w:r>
    </w:p>
    <w:p w:rsidR="00000000" w:rsidRDefault="0032744C">
      <w:pPr>
        <w:pStyle w:val="mesto"/>
      </w:pPr>
      <w:r>
        <w:t xml:space="preserve">Pravilnik je objavljen u "Službenom listu SRJ", br. 87/93. </w:t>
      </w:r>
    </w:p>
    <w:p w:rsidR="00000000" w:rsidRDefault="0032744C">
      <w:pPr>
        <w:pStyle w:val="naslov"/>
      </w:pPr>
      <w:r>
        <w:t xml:space="preserve">I. OPŠTE ODREDBE </w:t>
      </w:r>
    </w:p>
    <w:p w:rsidR="00000000" w:rsidRDefault="0032744C">
      <w:pPr>
        <w:pStyle w:val="clan"/>
      </w:pPr>
      <w:r>
        <w:t xml:space="preserve">Član 1. </w:t>
      </w:r>
    </w:p>
    <w:p w:rsidR="00000000" w:rsidRDefault="0032744C">
      <w:pPr>
        <w:pStyle w:val="tekst"/>
      </w:pPr>
      <w:r>
        <w:t xml:space="preserve">Ovim pravilnikom propisuju se: </w:t>
      </w:r>
    </w:p>
    <w:p w:rsidR="00000000" w:rsidRDefault="0032744C">
      <w:pPr>
        <w:pStyle w:val="tekst"/>
      </w:pPr>
      <w:r>
        <w:t xml:space="preserve">1) zahtevi koji moraju biti ispunjeni pri projektovanju, poslovanju i održavanju stabilnih instalacija za dojavu požara; </w:t>
      </w:r>
    </w:p>
    <w:p w:rsidR="00000000" w:rsidRDefault="0032744C">
      <w:pPr>
        <w:pStyle w:val="tekst"/>
      </w:pPr>
      <w:r>
        <w:t xml:space="preserve">2) postupak i način označavanja i obeležavanja uređaja i delova sistema za dojavu požara; </w:t>
      </w:r>
    </w:p>
    <w:p w:rsidR="00000000" w:rsidRDefault="0032744C">
      <w:pPr>
        <w:pStyle w:val="tekst"/>
      </w:pPr>
      <w:r>
        <w:t>3) tehničke mere nadzora stabilnih instalac</w:t>
      </w:r>
      <w:r>
        <w:t xml:space="preserve">ija za dojavu požara; </w:t>
      </w:r>
    </w:p>
    <w:p w:rsidR="00000000" w:rsidRDefault="0032744C">
      <w:pPr>
        <w:pStyle w:val="tekst"/>
      </w:pPr>
      <w:r>
        <w:t xml:space="preserve">4) način rukovanja i održavanja sistema i uređaja; </w:t>
      </w:r>
    </w:p>
    <w:p w:rsidR="00000000" w:rsidRDefault="0032744C">
      <w:pPr>
        <w:pStyle w:val="tekst"/>
      </w:pPr>
      <w:r>
        <w:t xml:space="preserve">5) zahtevi za broj i razmeštaj javljača požara; </w:t>
      </w:r>
    </w:p>
    <w:p w:rsidR="00000000" w:rsidRDefault="0032744C">
      <w:pPr>
        <w:pStyle w:val="tekst"/>
      </w:pPr>
      <w:r>
        <w:t xml:space="preserve">6) zahtevi za povezivanje stabilne instalacije za dojavu sa tehnološkom i elektrotehničkom opremom; </w:t>
      </w:r>
    </w:p>
    <w:p w:rsidR="00000000" w:rsidRDefault="0032744C">
      <w:pPr>
        <w:pStyle w:val="tekst"/>
      </w:pPr>
      <w:r>
        <w:t xml:space="preserve">7) zahtevi za kontrolne knjige </w:t>
      </w:r>
      <w:r>
        <w:t xml:space="preserve">pregleda i ispitivanja stabilne instalacije za dojavu požara. </w:t>
      </w:r>
    </w:p>
    <w:p w:rsidR="00000000" w:rsidRDefault="0032744C">
      <w:pPr>
        <w:pStyle w:val="clan"/>
      </w:pPr>
      <w:r>
        <w:t xml:space="preserve">Član 2. </w:t>
      </w:r>
    </w:p>
    <w:p w:rsidR="00000000" w:rsidRDefault="0032744C">
      <w:pPr>
        <w:pStyle w:val="tekst"/>
      </w:pPr>
      <w:r>
        <w:t xml:space="preserve">Izrazi upotrebljeni u ovom pravilniku imaju sledeće značenje: </w:t>
      </w:r>
    </w:p>
    <w:p w:rsidR="00000000" w:rsidRDefault="0032744C">
      <w:pPr>
        <w:pStyle w:val="tekst"/>
      </w:pPr>
      <w:r>
        <w:t>1) automatski javljač požara je deo stabilne instalacije za dojavu požara, koji neprekidno ili u određenim vremenskim raz</w:t>
      </w:r>
      <w:r>
        <w:t xml:space="preserve">macima prati odgovarajuće fizičke ili hemijske promene omogućujući otkrivanje požara u nadziranom prostoru; </w:t>
      </w:r>
    </w:p>
    <w:p w:rsidR="00000000" w:rsidRDefault="0032744C">
      <w:pPr>
        <w:pStyle w:val="tekst"/>
      </w:pPr>
      <w:r>
        <w:t xml:space="preserve">2) ručni javljač požara je uređaj za ručno uzbunjivanje (alarmiranje) kojeg uključuje čovek nakon otkrivanja požara; </w:t>
      </w:r>
    </w:p>
    <w:p w:rsidR="00000000" w:rsidRDefault="0032744C">
      <w:pPr>
        <w:pStyle w:val="tekst"/>
      </w:pPr>
      <w:r>
        <w:t>3) element za uzbunjivanje (a</w:t>
      </w:r>
      <w:r>
        <w:t xml:space="preserve">larmiranje) je uređaj, koji u slučaju požara daje zvučne i/ili svetlosne signale; </w:t>
      </w:r>
    </w:p>
    <w:p w:rsidR="00000000" w:rsidRDefault="0032744C">
      <w:pPr>
        <w:pStyle w:val="tekst"/>
      </w:pPr>
      <w:r>
        <w:t xml:space="preserve">4) prenosni vodovi su spoljne veze s delovima stabilne instalacije za dojavu požara, a služe za prenos informacija i napajanje energijom; </w:t>
      </w:r>
    </w:p>
    <w:p w:rsidR="00000000" w:rsidRDefault="0032744C">
      <w:pPr>
        <w:pStyle w:val="tekst"/>
      </w:pPr>
      <w:r>
        <w:t>5) nadzirna površina je površina p</w:t>
      </w:r>
      <w:r>
        <w:t xml:space="preserve">oda, koju nadzire jedan automatski javljač požara; </w:t>
      </w:r>
    </w:p>
    <w:p w:rsidR="00000000" w:rsidRDefault="0032744C">
      <w:pPr>
        <w:pStyle w:val="tekst"/>
      </w:pPr>
      <w:r>
        <w:t xml:space="preserve">6) područje nadzora (područje na kome se primenjuju tehničke mere nadzora) je celo područje nadzirano stabilnom instalacijom za dojavu požara; </w:t>
      </w:r>
    </w:p>
    <w:p w:rsidR="00000000" w:rsidRDefault="0032744C">
      <w:pPr>
        <w:pStyle w:val="tekst"/>
      </w:pPr>
      <w:r>
        <w:t>7) dojavna zona je grupa javljača predviđena za jedan signal</w:t>
      </w:r>
      <w:r>
        <w:t xml:space="preserve"> u dojavnoj centrali; </w:t>
      </w:r>
    </w:p>
    <w:p w:rsidR="00000000" w:rsidRDefault="0032744C">
      <w:pPr>
        <w:pStyle w:val="tekst"/>
      </w:pPr>
      <w:r>
        <w:t xml:space="preserve">8) dojavna centrala je uređaj za nadzor i upravljanje koji je u vezi s javljačima požara i obavlja svetlosno i zvučno uzbunjivanje i prenos signala o požaru na paralelne signalizatore i protivpožarnim službama; </w:t>
      </w:r>
    </w:p>
    <w:p w:rsidR="00000000" w:rsidRDefault="0032744C">
      <w:pPr>
        <w:pStyle w:val="tekst"/>
      </w:pPr>
      <w:r>
        <w:t xml:space="preserve">9) uzbuna (alarm) je </w:t>
      </w:r>
      <w:r>
        <w:t xml:space="preserve">zvučna i svetlosna signalizacija požarnog signala; </w:t>
      </w:r>
    </w:p>
    <w:p w:rsidR="00000000" w:rsidRDefault="0032744C">
      <w:pPr>
        <w:pStyle w:val="tekst"/>
      </w:pPr>
      <w:r>
        <w:t xml:space="preserve">10) lažno uzbunjivanje je ostvarenje požarnog signala usled tehničkih smetnji ili prevare; </w:t>
      </w:r>
    </w:p>
    <w:p w:rsidR="00000000" w:rsidRDefault="0032744C">
      <w:pPr>
        <w:pStyle w:val="tekst"/>
      </w:pPr>
      <w:r>
        <w:t>11) selektivno uzbunjivanje je uzbunjivanje jednog lica ili više unapred određenih lica (prema planu uzbunjivanj</w:t>
      </w:r>
      <w:r>
        <w:t xml:space="preserve">a); </w:t>
      </w:r>
    </w:p>
    <w:p w:rsidR="00000000" w:rsidRDefault="0032744C">
      <w:pPr>
        <w:pStyle w:val="tekst"/>
      </w:pPr>
      <w:r>
        <w:t xml:space="preserve">12) opšte uzbunjivanje je uzbunjivanje neodređenog broja lica putem elemenata za uzbunjivanje; </w:t>
      </w:r>
    </w:p>
    <w:p w:rsidR="00000000" w:rsidRDefault="0032744C">
      <w:pPr>
        <w:pStyle w:val="tekst"/>
      </w:pPr>
      <w:r>
        <w:t xml:space="preserve">13) dvozonska zavisnost je utvrđeni postupak u slučaju pojave požara; </w:t>
      </w:r>
    </w:p>
    <w:p w:rsidR="00000000" w:rsidRDefault="0032744C">
      <w:pPr>
        <w:pStyle w:val="tekst"/>
      </w:pPr>
      <w:r>
        <w:t>14) dvozonska zavisnost je mera za sprečavanje lažnog uzbunjivanja. Aktiviranjem jav</w:t>
      </w:r>
      <w:r>
        <w:t xml:space="preserve">ljača iz prve zone može se izvršiti selektivno uzbunjivanje ili neka upravljačka funkcija, a aktiviranjem javljača i iz druge zone uključuju se opšte uzbunjivanje i ostale upravljačke funkcije; </w:t>
      </w:r>
    </w:p>
    <w:p w:rsidR="00000000" w:rsidRDefault="0032744C">
      <w:pPr>
        <w:pStyle w:val="tekst"/>
      </w:pPr>
      <w:r>
        <w:t>15) kontrolna knjiga je knjiga za unošenje svih podataka o redovnim ispitivanjima, revizijama, nadogradnjama, uključivanju i isključivanju pojedinih zona, kao i o dojavama smetnji i požara. Uz svaki podatak unosi se datum, vreme i kratak opis događaja i po</w:t>
      </w:r>
      <w:r>
        <w:t xml:space="preserve">tpis dežurne osobe. </w:t>
      </w:r>
    </w:p>
    <w:p w:rsidR="00000000" w:rsidRDefault="0032744C">
      <w:pPr>
        <w:pStyle w:val="naslov"/>
      </w:pPr>
      <w:r>
        <w:t xml:space="preserve">II. ZAHTEVI ZA STABILNE INSTALACIJE ZA DOJAVU POŽARA </w:t>
      </w:r>
    </w:p>
    <w:p w:rsidR="00000000" w:rsidRDefault="0032744C">
      <w:pPr>
        <w:pStyle w:val="clan"/>
      </w:pPr>
      <w:r>
        <w:t xml:space="preserve">Član 3. </w:t>
      </w:r>
    </w:p>
    <w:p w:rsidR="00000000" w:rsidRDefault="0032744C">
      <w:pPr>
        <w:pStyle w:val="tekst"/>
      </w:pPr>
      <w:r>
        <w:t>Stabilna instalacija za dojavu požara mora biti tako projektovana i izvedena da pravilnim izborom, brojem i rasporedom javljača požara omogućuje signaliziranje pojave požar</w:t>
      </w:r>
      <w:r>
        <w:t xml:space="preserve">a u najranije mogućoj fazi, uz dovoljno veliku sigurnost sprečavanja lažnih uzbunjivanja. </w:t>
      </w:r>
    </w:p>
    <w:p w:rsidR="00000000" w:rsidRDefault="0032744C">
      <w:pPr>
        <w:pStyle w:val="clan"/>
      </w:pPr>
      <w:r>
        <w:t xml:space="preserve">Član 4. </w:t>
      </w:r>
    </w:p>
    <w:p w:rsidR="00000000" w:rsidRDefault="0032744C">
      <w:pPr>
        <w:pStyle w:val="tekst"/>
      </w:pPr>
      <w:r>
        <w:lastRenderedPageBreak/>
        <w:t xml:space="preserve">Svetlosna signalizacija smetnji ne sme se isključivati. Ona se automatski isključuje po otklanjanju smetnje. </w:t>
      </w:r>
    </w:p>
    <w:p w:rsidR="00000000" w:rsidRDefault="0032744C">
      <w:pPr>
        <w:pStyle w:val="clan"/>
      </w:pPr>
      <w:r>
        <w:t xml:space="preserve">Član 5. </w:t>
      </w:r>
    </w:p>
    <w:p w:rsidR="00000000" w:rsidRDefault="0032744C">
      <w:pPr>
        <w:pStyle w:val="tekst"/>
      </w:pPr>
      <w:r>
        <w:t>Osetljivost stabilne instalacije za d</w:t>
      </w:r>
      <w:r>
        <w:t xml:space="preserve">ojavu požara mogu menjati samo za to obučena lica. </w:t>
      </w:r>
    </w:p>
    <w:p w:rsidR="00000000" w:rsidRDefault="0032744C">
      <w:pPr>
        <w:pStyle w:val="naslov"/>
      </w:pPr>
      <w:r>
        <w:t xml:space="preserve">III. PLAN UZBUNjIVANjA (ALARMIRANjA) </w:t>
      </w:r>
    </w:p>
    <w:p w:rsidR="00000000" w:rsidRDefault="0032744C">
      <w:pPr>
        <w:pStyle w:val="clan"/>
      </w:pPr>
      <w:r>
        <w:t xml:space="preserve">Član 6. </w:t>
      </w:r>
    </w:p>
    <w:p w:rsidR="00000000" w:rsidRDefault="0032744C">
      <w:pPr>
        <w:pStyle w:val="tekst"/>
      </w:pPr>
      <w:r>
        <w:t>Stabilna instalacija za dojavu požara zahteva detaljno razrađen plan uzbunjivanja, u kojem moraju biti utvrđeni postupci uzbunjivanja za vreme i van radnog v</w:t>
      </w:r>
      <w:r>
        <w:t xml:space="preserve">remena, koji mora biti usklađen s opštim planom zaštite od požara. </w:t>
      </w:r>
    </w:p>
    <w:p w:rsidR="00000000" w:rsidRDefault="0032744C">
      <w:pPr>
        <w:pStyle w:val="clan"/>
      </w:pPr>
      <w:r>
        <w:t xml:space="preserve">Član 7. </w:t>
      </w:r>
    </w:p>
    <w:p w:rsidR="00000000" w:rsidRDefault="0032744C">
      <w:pPr>
        <w:pStyle w:val="tekst"/>
      </w:pPr>
      <w:r>
        <w:t xml:space="preserve">Plan uzbunjivanja postavlja se u neposrednoj blizini dojavne centrale, a mora u svakom trenutku osigurati sledeće: </w:t>
      </w:r>
    </w:p>
    <w:p w:rsidR="00000000" w:rsidRDefault="0032744C">
      <w:pPr>
        <w:pStyle w:val="tekst"/>
      </w:pPr>
      <w:r>
        <w:t xml:space="preserve">1) upozorenje licima u opasnosti radi pravovremene evakuacije; </w:t>
      </w:r>
    </w:p>
    <w:p w:rsidR="00000000" w:rsidRDefault="0032744C">
      <w:pPr>
        <w:pStyle w:val="tekst"/>
      </w:pPr>
      <w:r>
        <w:t xml:space="preserve">2) uključivanje dežurnog lica i lokalne vatrogasne jedinice; </w:t>
      </w:r>
    </w:p>
    <w:p w:rsidR="00000000" w:rsidRDefault="0032744C">
      <w:pPr>
        <w:pStyle w:val="tekst"/>
      </w:pPr>
      <w:r>
        <w:t xml:space="preserve">3) uzbunjivanje najbliže vatrogasne brigade; </w:t>
      </w:r>
    </w:p>
    <w:p w:rsidR="00000000" w:rsidRDefault="0032744C">
      <w:pPr>
        <w:pStyle w:val="tekst"/>
      </w:pPr>
      <w:r>
        <w:t xml:space="preserve">4) uzbunjivanje članova osoblja, koji imaju specijalne dužnosti (izrada planova borbe protiv požara, usmeravanje ekipa za gašenje i informisanje); </w:t>
      </w:r>
    </w:p>
    <w:p w:rsidR="00000000" w:rsidRDefault="0032744C">
      <w:pPr>
        <w:pStyle w:val="tekst"/>
      </w:pPr>
      <w:r>
        <w:t xml:space="preserve">5) predviđanje svih mera u slučaju neispravnosti ili isključivanja pojedinih dojavnih zona. </w:t>
      </w:r>
    </w:p>
    <w:p w:rsidR="00000000" w:rsidRDefault="0032744C">
      <w:pPr>
        <w:pStyle w:val="clan"/>
      </w:pPr>
      <w:r>
        <w:t xml:space="preserve">Član 8. </w:t>
      </w:r>
    </w:p>
    <w:p w:rsidR="00000000" w:rsidRDefault="0032744C">
      <w:pPr>
        <w:pStyle w:val="tekst"/>
      </w:pPr>
      <w:r>
        <w:t xml:space="preserve">Požarna uzbuna (alarm) mora se signalizirati svetlosno i zvučno na dojavnoj centrali, svim paralelnim tabloima i u lokalnom požarnom kontrolnom centru. </w:t>
      </w:r>
    </w:p>
    <w:p w:rsidR="00000000" w:rsidRDefault="0032744C">
      <w:pPr>
        <w:pStyle w:val="tekst"/>
      </w:pPr>
      <w:r>
        <w:t xml:space="preserve">Požarna uzbuna mora biti takva da omogućuje brzo pronalaženje mesta pojave požara. </w:t>
      </w:r>
    </w:p>
    <w:p w:rsidR="00000000" w:rsidRDefault="0032744C">
      <w:pPr>
        <w:pStyle w:val="tekst"/>
      </w:pPr>
      <w:r>
        <w:t xml:space="preserve">Neovlašćena lica ne smeju isključiti uređaj za požarnu uzbunu. </w:t>
      </w:r>
    </w:p>
    <w:p w:rsidR="00000000" w:rsidRDefault="0032744C">
      <w:pPr>
        <w:pStyle w:val="naslov"/>
      </w:pPr>
      <w:r>
        <w:t xml:space="preserve">IV. AUTOMATSKI JAVLjAČI POŽARA </w:t>
      </w:r>
    </w:p>
    <w:p w:rsidR="00000000" w:rsidRDefault="0032744C">
      <w:pPr>
        <w:pStyle w:val="clan"/>
      </w:pPr>
      <w:r>
        <w:t xml:space="preserve">Član 9. </w:t>
      </w:r>
    </w:p>
    <w:p w:rsidR="00000000" w:rsidRDefault="0032744C">
      <w:pPr>
        <w:pStyle w:val="tekst"/>
      </w:pPr>
      <w:r>
        <w:t xml:space="preserve">Automatski javljači požara, prema principu rada, dele se na: </w:t>
      </w:r>
    </w:p>
    <w:p w:rsidR="00000000" w:rsidRDefault="0032744C">
      <w:pPr>
        <w:pStyle w:val="tekst"/>
      </w:pPr>
      <w:r>
        <w:t>a) te</w:t>
      </w:r>
      <w:r>
        <w:t xml:space="preserve">rmičke javljače, koji reaguju na povećanje temperature; </w:t>
      </w:r>
    </w:p>
    <w:p w:rsidR="00000000" w:rsidRDefault="0032744C">
      <w:pPr>
        <w:pStyle w:val="tekst"/>
      </w:pPr>
      <w:r>
        <w:t xml:space="preserve">b) dimne javljače, koji reaguju na proizvode sagorevanja i/ili čestica koje lebde u atmosferi, čiji se diametar kreće od 10 km (vidljivi dim) do 1 km (nevidljivi dim); </w:t>
      </w:r>
    </w:p>
    <w:p w:rsidR="00000000" w:rsidRDefault="0032744C">
      <w:pPr>
        <w:pStyle w:val="tekst"/>
      </w:pPr>
      <w:r>
        <w:t xml:space="preserve">1) jonizujuće dimne javljače, </w:t>
      </w:r>
      <w:r>
        <w:t xml:space="preserve">koji reaguju na proizvode sagorevanja koji utiču na promenu jonizujuće struje u radioaktivnoj komori javljača; </w:t>
      </w:r>
    </w:p>
    <w:p w:rsidR="00000000" w:rsidRDefault="0032744C">
      <w:pPr>
        <w:pStyle w:val="tekst"/>
      </w:pPr>
      <w:r>
        <w:t xml:space="preserve">2) optičke dimne javljače, koji reaguju na proizvode sagorevanja koji dovode do apsorpcije ili raspršivanja svetlosti u infracrvenom, vidljivom </w:t>
      </w:r>
      <w:r>
        <w:t xml:space="preserve">i/ili ultraljubičastom opsegu elektromagnetnog spektra; </w:t>
      </w:r>
    </w:p>
    <w:p w:rsidR="00000000" w:rsidRDefault="0032744C">
      <w:pPr>
        <w:pStyle w:val="tekst"/>
      </w:pPr>
      <w:r>
        <w:t xml:space="preserve">c) javljače gasa, koji reaguju na gasovite proizvode sagorevanja i/ili na proizvode razlaganja usled toplote; </w:t>
      </w:r>
    </w:p>
    <w:p w:rsidR="00000000" w:rsidRDefault="0032744C">
      <w:pPr>
        <w:pStyle w:val="tekst"/>
      </w:pPr>
      <w:r>
        <w:t xml:space="preserve">d) javljače plamena, koji reaguju na emitovano zračenje iz plamena. </w:t>
      </w:r>
    </w:p>
    <w:p w:rsidR="00000000" w:rsidRDefault="0032744C">
      <w:pPr>
        <w:pStyle w:val="naslov"/>
      </w:pPr>
      <w:r>
        <w:t>V. DOJAVNA CENTRALA</w:t>
      </w:r>
      <w:r>
        <w:t xml:space="preserve"> </w:t>
      </w:r>
    </w:p>
    <w:p w:rsidR="00000000" w:rsidRDefault="0032744C">
      <w:pPr>
        <w:pStyle w:val="clan"/>
      </w:pPr>
      <w:r>
        <w:t xml:space="preserve">Član 10. </w:t>
      </w:r>
    </w:p>
    <w:p w:rsidR="00000000" w:rsidRDefault="0032744C">
      <w:pPr>
        <w:pStyle w:val="tekst"/>
      </w:pPr>
      <w:r>
        <w:t xml:space="preserve">Dojavna centrala prihvata podatke o požaru od priključenih javljača i uključuje zvučnu i svetlosnu signalizaciju određujući mesto opasnosti. </w:t>
      </w:r>
    </w:p>
    <w:p w:rsidR="00000000" w:rsidRDefault="0032744C">
      <w:pPr>
        <w:pStyle w:val="tekst"/>
      </w:pPr>
      <w:r>
        <w:t>Dojavna centrala prenosi informaciju o požaru preko predajnog uređaja daljinske signalizacije protivpo</w:t>
      </w:r>
      <w:r>
        <w:t xml:space="preserve">žarnoj službi i/ili preko uređaja za upravljanje automatskom protivpožarnom instalacijom uključuje gašenje. </w:t>
      </w:r>
    </w:p>
    <w:p w:rsidR="00000000" w:rsidRDefault="0032744C">
      <w:pPr>
        <w:pStyle w:val="tekst"/>
      </w:pPr>
      <w:r>
        <w:t>Dojavna centrala neprekidno kontroliše pravilan rad stabilne instalacije za dojavu požara i daje zvučne i svetlosne signale upozorenja pri bilo koj</w:t>
      </w:r>
      <w:r>
        <w:t xml:space="preserve">oj neispravnosti. </w:t>
      </w:r>
    </w:p>
    <w:p w:rsidR="00000000" w:rsidRDefault="0032744C">
      <w:pPr>
        <w:pStyle w:val="tekst"/>
      </w:pPr>
      <w:r>
        <w:t xml:space="preserve">Zvučni signal uzbune (alarma) mora se razlikovati od zvučnog signala kvara. </w:t>
      </w:r>
    </w:p>
    <w:p w:rsidR="00000000" w:rsidRDefault="0032744C">
      <w:pPr>
        <w:pStyle w:val="clan"/>
      </w:pPr>
      <w:r>
        <w:t xml:space="preserve">Član 11. </w:t>
      </w:r>
    </w:p>
    <w:p w:rsidR="00000000" w:rsidRDefault="0032744C">
      <w:pPr>
        <w:pStyle w:val="tekst"/>
      </w:pPr>
      <w:r>
        <w:t xml:space="preserve">Dojavna centrala mora sadržavati: </w:t>
      </w:r>
    </w:p>
    <w:p w:rsidR="00000000" w:rsidRDefault="0032744C">
      <w:pPr>
        <w:pStyle w:val="tekst"/>
      </w:pPr>
      <w:r>
        <w:t xml:space="preserve">1) indikator uzbune (crvene boje); </w:t>
      </w:r>
    </w:p>
    <w:p w:rsidR="00000000" w:rsidRDefault="0032744C">
      <w:pPr>
        <w:pStyle w:val="tekst"/>
      </w:pPr>
      <w:r>
        <w:t xml:space="preserve">2) indikator dojavne zone (crvene boje); </w:t>
      </w:r>
    </w:p>
    <w:p w:rsidR="00000000" w:rsidRDefault="0032744C">
      <w:pPr>
        <w:pStyle w:val="tekst"/>
      </w:pPr>
      <w:r>
        <w:t xml:space="preserve">3) indikator neispravnosti (žute ili </w:t>
      </w:r>
      <w:r>
        <w:t xml:space="preserve">bele boje); </w:t>
      </w:r>
    </w:p>
    <w:p w:rsidR="00000000" w:rsidRDefault="0032744C">
      <w:pPr>
        <w:pStyle w:val="tekst"/>
      </w:pPr>
      <w:r>
        <w:t xml:space="preserve">4) indikator uključenog stanja (zelene boje); </w:t>
      </w:r>
    </w:p>
    <w:p w:rsidR="00000000" w:rsidRDefault="0032744C">
      <w:pPr>
        <w:pStyle w:val="tekst"/>
      </w:pPr>
      <w:r>
        <w:t xml:space="preserve">5) indikator isključenosti dojavne zone ili dela vatro-dojavnog sistema (žute boje); </w:t>
      </w:r>
    </w:p>
    <w:p w:rsidR="00000000" w:rsidRDefault="0032744C">
      <w:pPr>
        <w:pStyle w:val="tekst"/>
      </w:pPr>
      <w:r>
        <w:t xml:space="preserve">6) indikator napajanja iz rezervnog izvora (zelene boje); </w:t>
      </w:r>
    </w:p>
    <w:p w:rsidR="00000000" w:rsidRDefault="0032744C">
      <w:pPr>
        <w:pStyle w:val="tekst"/>
      </w:pPr>
      <w:r>
        <w:t xml:space="preserve">7) uređaj za izvođenje funkcionalne kontrole. </w:t>
      </w:r>
    </w:p>
    <w:p w:rsidR="00000000" w:rsidRDefault="0032744C">
      <w:pPr>
        <w:pStyle w:val="clan"/>
      </w:pPr>
      <w:r>
        <w:t>Član</w:t>
      </w:r>
      <w:r>
        <w:t xml:space="preserve"> 12. </w:t>
      </w:r>
    </w:p>
    <w:p w:rsidR="00000000" w:rsidRDefault="0032744C">
      <w:pPr>
        <w:pStyle w:val="tekst"/>
      </w:pPr>
      <w:r>
        <w:lastRenderedPageBreak/>
        <w:t xml:space="preserve">Dojavna centrala mora signalizirati sledeće kvarove: </w:t>
      </w:r>
    </w:p>
    <w:p w:rsidR="00000000" w:rsidRDefault="0032744C">
      <w:pPr>
        <w:pStyle w:val="tekst"/>
      </w:pPr>
      <w:r>
        <w:t xml:space="preserve">1) isključenje iz rada jednog ili više javljača; </w:t>
      </w:r>
    </w:p>
    <w:p w:rsidR="00000000" w:rsidRDefault="0032744C">
      <w:pPr>
        <w:pStyle w:val="tekst"/>
      </w:pPr>
      <w:r>
        <w:t xml:space="preserve">2) kvar na primarnim vodovima; </w:t>
      </w:r>
    </w:p>
    <w:p w:rsidR="00000000" w:rsidRDefault="0032744C">
      <w:pPr>
        <w:pStyle w:val="tekst"/>
      </w:pPr>
      <w:r>
        <w:t xml:space="preserve">3) kvar na izvoru napajanja; </w:t>
      </w:r>
    </w:p>
    <w:p w:rsidR="00000000" w:rsidRDefault="0032744C">
      <w:pPr>
        <w:pStyle w:val="tekst"/>
      </w:pPr>
      <w:r>
        <w:t xml:space="preserve">4) ispad osigurača u funkcionalno važnim strujnim kolima; </w:t>
      </w:r>
    </w:p>
    <w:p w:rsidR="00000000" w:rsidRDefault="0032744C">
      <w:pPr>
        <w:pStyle w:val="tekst"/>
      </w:pPr>
      <w:r>
        <w:t xml:space="preserve">5) spoj sa zemljom. </w:t>
      </w:r>
    </w:p>
    <w:p w:rsidR="00000000" w:rsidRDefault="0032744C">
      <w:pPr>
        <w:pStyle w:val="clan"/>
      </w:pPr>
      <w:r>
        <w:t>Član</w:t>
      </w:r>
      <w:r>
        <w:t xml:space="preserve"> 13. </w:t>
      </w:r>
    </w:p>
    <w:p w:rsidR="00000000" w:rsidRDefault="0032744C">
      <w:pPr>
        <w:pStyle w:val="tekst"/>
      </w:pPr>
      <w:r>
        <w:t xml:space="preserve">Uređaj za izvođenje funkcionalne kontrole mora kontrolisati rad: </w:t>
      </w:r>
    </w:p>
    <w:p w:rsidR="00000000" w:rsidRDefault="0032744C">
      <w:pPr>
        <w:pStyle w:val="tekst"/>
      </w:pPr>
      <w:r>
        <w:t xml:space="preserve">1) indikatora uzbune i kvara; </w:t>
      </w:r>
    </w:p>
    <w:p w:rsidR="00000000" w:rsidRDefault="0032744C">
      <w:pPr>
        <w:pStyle w:val="tekst"/>
      </w:pPr>
      <w:r>
        <w:t xml:space="preserve">2) indikatora dojavne zone. </w:t>
      </w:r>
    </w:p>
    <w:p w:rsidR="00000000" w:rsidRDefault="0032744C">
      <w:pPr>
        <w:pStyle w:val="clan"/>
      </w:pPr>
      <w:r>
        <w:t xml:space="preserve">Član 14. </w:t>
      </w:r>
    </w:p>
    <w:p w:rsidR="00000000" w:rsidRDefault="0032744C">
      <w:pPr>
        <w:pStyle w:val="tekst"/>
      </w:pPr>
      <w:r>
        <w:t xml:space="preserve">Svetlosna signalizacija uzbune ili kvara mora biti izvedena tako da ostaje uključena za vreme trajanja požara ili kvara, bez obzira na isključivanje zvučne signalizacije. </w:t>
      </w:r>
    </w:p>
    <w:p w:rsidR="00000000" w:rsidRDefault="0032744C">
      <w:pPr>
        <w:pStyle w:val="clan"/>
      </w:pPr>
      <w:r>
        <w:t xml:space="preserve">Član 15. </w:t>
      </w:r>
    </w:p>
    <w:p w:rsidR="00000000" w:rsidRDefault="0032744C">
      <w:pPr>
        <w:pStyle w:val="tekst"/>
      </w:pPr>
      <w:r>
        <w:t>Svi osigurači dojavne zone - indikatori i uređaji za rukovanje moraju biti</w:t>
      </w:r>
      <w:r>
        <w:t xml:space="preserve"> vidno i trajno označeni. </w:t>
      </w:r>
    </w:p>
    <w:p w:rsidR="00000000" w:rsidRDefault="0032744C">
      <w:pPr>
        <w:pStyle w:val="clan"/>
      </w:pPr>
      <w:r>
        <w:t xml:space="preserve">Član 16. </w:t>
      </w:r>
    </w:p>
    <w:p w:rsidR="00000000" w:rsidRDefault="0032744C">
      <w:pPr>
        <w:pStyle w:val="tekst"/>
      </w:pPr>
      <w:r>
        <w:t xml:space="preserve">Na dojavnoj centrali za više dojavnih zona mora postojati mogućnost jednostavnog isključivanja svake dojavne zone bez uticaja na normalan rad ostalih dojavnih zona. </w:t>
      </w:r>
    </w:p>
    <w:p w:rsidR="00000000" w:rsidRDefault="0032744C">
      <w:pPr>
        <w:pStyle w:val="clan"/>
      </w:pPr>
      <w:r>
        <w:t xml:space="preserve">Član 17. </w:t>
      </w:r>
    </w:p>
    <w:p w:rsidR="00000000" w:rsidRDefault="0032744C">
      <w:pPr>
        <w:pStyle w:val="tekst"/>
      </w:pPr>
      <w:r>
        <w:t>Kućište za smeštaj dojavne centrale mora bi</w:t>
      </w:r>
      <w:r>
        <w:t xml:space="preserve">ti mehanički otporno, omogućavati preglednost svih indikatora i onemogućavati neovlašćeno rukovanje. </w:t>
      </w:r>
    </w:p>
    <w:p w:rsidR="00000000" w:rsidRDefault="0032744C">
      <w:pPr>
        <w:pStyle w:val="clan"/>
      </w:pPr>
      <w:r>
        <w:t xml:space="preserve">Član 18. </w:t>
      </w:r>
    </w:p>
    <w:p w:rsidR="00000000" w:rsidRDefault="0032744C">
      <w:pPr>
        <w:pStyle w:val="tekst"/>
      </w:pPr>
      <w:r>
        <w:t>Dojavna centrala mora biti postavljena u prostoriji gde se neprekidno dežura ili mora do mesta s neprekidnim dežurstvom biti osigurana paralelna</w:t>
      </w:r>
      <w:r>
        <w:t xml:space="preserve"> signalizacija, odnosno automatski daljinski prenos signala požara i smetnje. </w:t>
      </w:r>
    </w:p>
    <w:p w:rsidR="00000000" w:rsidRDefault="0032744C">
      <w:pPr>
        <w:pStyle w:val="tekst"/>
      </w:pPr>
      <w:r>
        <w:t xml:space="preserve">U blizini dojavne centrale mora biti: </w:t>
      </w:r>
    </w:p>
    <w:p w:rsidR="00000000" w:rsidRDefault="0032744C">
      <w:pPr>
        <w:pStyle w:val="tekst"/>
      </w:pPr>
      <w:r>
        <w:t xml:space="preserve">1) plan uzbunjivanja, </w:t>
      </w:r>
    </w:p>
    <w:p w:rsidR="00000000" w:rsidRDefault="0032744C">
      <w:pPr>
        <w:pStyle w:val="tekst"/>
      </w:pPr>
      <w:r>
        <w:t xml:space="preserve">2) kontrolna knjiga, </w:t>
      </w:r>
    </w:p>
    <w:p w:rsidR="00000000" w:rsidRDefault="0032744C">
      <w:pPr>
        <w:pStyle w:val="tekst"/>
      </w:pPr>
      <w:r>
        <w:t xml:space="preserve">3) uputstvo za rukovanje i održavanje dojavne centrale. </w:t>
      </w:r>
    </w:p>
    <w:p w:rsidR="00000000" w:rsidRDefault="0032744C">
      <w:pPr>
        <w:pStyle w:val="clan"/>
      </w:pPr>
      <w:r>
        <w:t xml:space="preserve">Član 19. </w:t>
      </w:r>
    </w:p>
    <w:p w:rsidR="00000000" w:rsidRDefault="0032744C">
      <w:pPr>
        <w:pStyle w:val="tekst"/>
      </w:pPr>
      <w:r>
        <w:t>Na dojavnu centralu mora s</w:t>
      </w:r>
      <w:r>
        <w:t xml:space="preserve">e postaviti natpisna pločica s podacima o proizvođaču, tipskoj oznaci centrale, godini proizvodnje, fabričkom broju i broju uverenja o kvalitetu. </w:t>
      </w:r>
    </w:p>
    <w:p w:rsidR="00000000" w:rsidRDefault="0032744C">
      <w:pPr>
        <w:pStyle w:val="naslov"/>
      </w:pPr>
      <w:r>
        <w:t xml:space="preserve">VI. ELEMENTI ZA UZBUNjIVANjE (ALARMIRANjE) </w:t>
      </w:r>
    </w:p>
    <w:p w:rsidR="00000000" w:rsidRDefault="0032744C">
      <w:pPr>
        <w:pStyle w:val="clan"/>
      </w:pPr>
      <w:r>
        <w:t xml:space="preserve">Član 20. </w:t>
      </w:r>
    </w:p>
    <w:p w:rsidR="00000000" w:rsidRDefault="0032744C">
      <w:pPr>
        <w:pStyle w:val="tekst"/>
      </w:pPr>
      <w:r>
        <w:t xml:space="preserve">Elementi za uzbunjivanje (alarmiranje) (sirene, zvona, </w:t>
      </w:r>
      <w:r>
        <w:t xml:space="preserve">lampe, bljeskalice), predajnici i prijemnici daljinske signalizacije moraju stalno biti u ispravnom stanju i zaštićeni od oštećenja i blokiranja. </w:t>
      </w:r>
    </w:p>
    <w:p w:rsidR="00000000" w:rsidRDefault="0032744C">
      <w:pPr>
        <w:pStyle w:val="tekst"/>
      </w:pPr>
      <w:r>
        <w:t xml:space="preserve">Elementi za požarno uzbunjivanje moraju se razlikovati od elemenata za ostala uzbunjivanja. </w:t>
      </w:r>
    </w:p>
    <w:p w:rsidR="00000000" w:rsidRDefault="0032744C">
      <w:pPr>
        <w:pStyle w:val="tekst"/>
      </w:pPr>
      <w:r>
        <w:t>Elementi za uzbu</w:t>
      </w:r>
      <w:r>
        <w:t xml:space="preserve">njivanje moraju biti crvene boje ili obloženi natpisnim pločicama "požarna uzbuna". </w:t>
      </w:r>
    </w:p>
    <w:p w:rsidR="00000000" w:rsidRDefault="0032744C">
      <w:pPr>
        <w:pStyle w:val="tekst"/>
      </w:pPr>
      <w:r>
        <w:t>Za bolji nadzor i bržu orijentaciju akcije na gašenju požara potrebno je primenjivati uređaje za paralelnu signalizaciju i/ili sinoptičke tabloe s ucrtanim objektima i doj</w:t>
      </w:r>
      <w:r>
        <w:t xml:space="preserve">avnim zonama. </w:t>
      </w:r>
    </w:p>
    <w:p w:rsidR="00000000" w:rsidRDefault="0032744C">
      <w:pPr>
        <w:pStyle w:val="naslov"/>
      </w:pPr>
      <w:r>
        <w:t xml:space="preserve">VII. TEHNIČKE MERE NADZORA </w:t>
      </w:r>
    </w:p>
    <w:p w:rsidR="00000000" w:rsidRDefault="0032744C">
      <w:pPr>
        <w:pStyle w:val="clan"/>
      </w:pPr>
      <w:r>
        <w:t xml:space="preserve">Član 21. </w:t>
      </w:r>
    </w:p>
    <w:p w:rsidR="00000000" w:rsidRDefault="0032744C">
      <w:pPr>
        <w:pStyle w:val="tekst"/>
      </w:pPr>
      <w:r>
        <w:t xml:space="preserve">Područja na kojima se primenjuju tehničke mere nadzora moraju prostorno ili građevinski biti odvojena od područja na kojima se te mere ne primenjuju pomoću protivpožarnih zidova i podova. </w:t>
      </w:r>
    </w:p>
    <w:p w:rsidR="00000000" w:rsidRDefault="0032744C">
      <w:pPr>
        <w:pStyle w:val="clan"/>
      </w:pPr>
      <w:r>
        <w:t xml:space="preserve">Član 22. </w:t>
      </w:r>
    </w:p>
    <w:p w:rsidR="00000000" w:rsidRDefault="0032744C">
      <w:pPr>
        <w:pStyle w:val="tekst"/>
      </w:pPr>
      <w:r>
        <w:t>Tehn</w:t>
      </w:r>
      <w:r>
        <w:t xml:space="preserve">ičke mere nadzora primenjuju se na: </w:t>
      </w:r>
    </w:p>
    <w:p w:rsidR="00000000" w:rsidRDefault="0032744C">
      <w:pPr>
        <w:pStyle w:val="tekst"/>
      </w:pPr>
      <w:r>
        <w:t xml:space="preserve">1) liftove, kao i transportna i transmisijska okna; </w:t>
      </w:r>
    </w:p>
    <w:p w:rsidR="00000000" w:rsidRDefault="0032744C">
      <w:pPr>
        <w:pStyle w:val="tekst"/>
      </w:pPr>
      <w:r>
        <w:t xml:space="preserve">2) kablovske kanale i okna; </w:t>
      </w:r>
    </w:p>
    <w:p w:rsidR="00000000" w:rsidRDefault="0032744C">
      <w:pPr>
        <w:pStyle w:val="tekst"/>
      </w:pPr>
      <w:r>
        <w:t xml:space="preserve">3) klima-uređaje i ventilacijske uređaje, </w:t>
      </w:r>
    </w:p>
    <w:p w:rsidR="00000000" w:rsidRDefault="0032744C">
      <w:pPr>
        <w:pStyle w:val="tekst"/>
      </w:pPr>
      <w:r>
        <w:t xml:space="preserve">4) kanale i okna za otpad, kao i spremnice za sakupljanje; </w:t>
      </w:r>
    </w:p>
    <w:p w:rsidR="00000000" w:rsidRDefault="0032744C">
      <w:pPr>
        <w:pStyle w:val="tekst"/>
      </w:pPr>
      <w:r>
        <w:t xml:space="preserve">5) komore i prostore u zidu; </w:t>
      </w:r>
    </w:p>
    <w:p w:rsidR="00000000" w:rsidRDefault="0032744C">
      <w:pPr>
        <w:pStyle w:val="tekst"/>
      </w:pPr>
      <w:r>
        <w:t xml:space="preserve">6) međustropne i međupodne prostore. </w:t>
      </w:r>
    </w:p>
    <w:p w:rsidR="00000000" w:rsidRDefault="0032744C">
      <w:pPr>
        <w:pStyle w:val="clan"/>
      </w:pPr>
      <w:r>
        <w:lastRenderedPageBreak/>
        <w:t xml:space="preserve">Član 23. </w:t>
      </w:r>
    </w:p>
    <w:p w:rsidR="00000000" w:rsidRDefault="0032744C">
      <w:pPr>
        <w:pStyle w:val="tekst"/>
      </w:pPr>
      <w:r>
        <w:t xml:space="preserve">Izuzetno od odredaba člana 22. ovog pravilnika, tehničke mere nadzora ne primenjuju se na: </w:t>
      </w:r>
    </w:p>
    <w:p w:rsidR="00000000" w:rsidRDefault="0032744C">
      <w:pPr>
        <w:pStyle w:val="tekst"/>
      </w:pPr>
      <w:r>
        <w:t xml:space="preserve">1) sanitarne prostore i praonice bez zapaljivih materijala ili otpadaka; </w:t>
      </w:r>
    </w:p>
    <w:p w:rsidR="00000000" w:rsidRDefault="0032744C">
      <w:pPr>
        <w:pStyle w:val="tekst"/>
      </w:pPr>
      <w:r>
        <w:t>2) kablovske kanale i okna koji su nedostu</w:t>
      </w:r>
      <w:r>
        <w:t xml:space="preserve">pni ljudima i vatrootporno odvojeni; </w:t>
      </w:r>
    </w:p>
    <w:p w:rsidR="00000000" w:rsidRDefault="0032744C">
      <w:pPr>
        <w:pStyle w:val="tekst"/>
      </w:pPr>
      <w:r>
        <w:t xml:space="preserve">3) podzemna skloništa koja se u mirnodopsko vreme ne upotrebljavaju u druge svrhe; </w:t>
      </w:r>
    </w:p>
    <w:p w:rsidR="00000000" w:rsidRDefault="0032744C">
      <w:pPr>
        <w:pStyle w:val="tekst"/>
      </w:pPr>
      <w:r>
        <w:t xml:space="preserve">4) prostore koji su zaštićeni jednom od automatskih instalacija za gašenje; </w:t>
      </w:r>
    </w:p>
    <w:p w:rsidR="00000000" w:rsidRDefault="0032744C">
      <w:pPr>
        <w:pStyle w:val="tekst"/>
      </w:pPr>
      <w:r>
        <w:t xml:space="preserve">5) međuprostore u stropu i podu, ako su: niži od 0,8 m , </w:t>
      </w:r>
      <w:r>
        <w:t>bez vodova za sigurnosne uređaje, požarnog opterećenja manjeg od 25 MJ/m</w:t>
      </w:r>
      <w:r>
        <w:rPr>
          <w:vertAlign w:val="superscript"/>
        </w:rPr>
        <w:t>2</w:t>
      </w:r>
      <w:r>
        <w:t xml:space="preserve">, podeljeni u celine ne duže od 10 m i ne šire od 10 m . </w:t>
      </w:r>
    </w:p>
    <w:p w:rsidR="00000000" w:rsidRDefault="0032744C">
      <w:pPr>
        <w:pStyle w:val="naslov"/>
      </w:pPr>
      <w:r>
        <w:t xml:space="preserve">VIII. DOJAVNE ZONE </w:t>
      </w:r>
    </w:p>
    <w:p w:rsidR="00000000" w:rsidRDefault="0032744C">
      <w:pPr>
        <w:pStyle w:val="clan"/>
      </w:pPr>
      <w:r>
        <w:t xml:space="preserve">Član 24. </w:t>
      </w:r>
    </w:p>
    <w:p w:rsidR="00000000" w:rsidRDefault="0032744C">
      <w:pPr>
        <w:pStyle w:val="tekst"/>
      </w:pPr>
      <w:r>
        <w:t>Područje na koje se primenjuju tehničke mere nadzora deli se na dojavne zone. Određivanje dojav</w:t>
      </w:r>
      <w:r>
        <w:t xml:space="preserve">nih zona mora biti takvo da se može brzo i jednoznačno odrediti meso izbijanja požara. </w:t>
      </w:r>
    </w:p>
    <w:p w:rsidR="00000000" w:rsidRDefault="0032744C">
      <w:pPr>
        <w:pStyle w:val="tekst"/>
      </w:pPr>
      <w:r>
        <w:t>Dojavna zona sme se rasprostirati samo po jednoj etaži (izuzetak su stepeništa, liftovi i slična okna), a ne sme biti veća od požarnog sektora niti veća od 1 600 m</w:t>
      </w:r>
      <w:r>
        <w:rPr>
          <w:vertAlign w:val="superscript"/>
        </w:rPr>
        <w:t>2</w:t>
      </w:r>
      <w:r>
        <w:t xml:space="preserve">. </w:t>
      </w:r>
    </w:p>
    <w:p w:rsidR="00000000" w:rsidRDefault="0032744C">
      <w:pPr>
        <w:pStyle w:val="clan"/>
      </w:pPr>
      <w:r>
        <w:t>Č</w:t>
      </w:r>
      <w:r>
        <w:t xml:space="preserve">lan 25. </w:t>
      </w:r>
    </w:p>
    <w:p w:rsidR="00000000" w:rsidRDefault="0032744C">
      <w:pPr>
        <w:pStyle w:val="tekst"/>
      </w:pPr>
      <w:r>
        <w:t>U jednoj dojavnoj zoni sme biti više prostora samo ako su susedni, a nema ih više od pet s ukupnom površinom ne većom od 400 m</w:t>
      </w:r>
      <w:r>
        <w:rPr>
          <w:vertAlign w:val="superscript"/>
        </w:rPr>
        <w:t>2</w:t>
      </w:r>
      <w:r>
        <w:t>, ili ako su susedni, a prilazi se mogu lako nadgledati i ukupna površina nije veća od 1 000 m</w:t>
      </w:r>
      <w:r>
        <w:rPr>
          <w:vertAlign w:val="superscript"/>
        </w:rPr>
        <w:t>2</w:t>
      </w:r>
      <w:r>
        <w:t xml:space="preserve">. </w:t>
      </w:r>
    </w:p>
    <w:p w:rsidR="00000000" w:rsidRDefault="0032744C">
      <w:pPr>
        <w:pStyle w:val="tekst"/>
      </w:pPr>
      <w:r>
        <w:t>U slučajevima iz stava</w:t>
      </w:r>
      <w:r>
        <w:t xml:space="preserve"> 1. ovog člana obavezno je predvideti odvojene indikatore delovanja zbog lakšeg i bržeg pronalaženja prostora u kojem se pojavio požar. </w:t>
      </w:r>
    </w:p>
    <w:p w:rsidR="00000000" w:rsidRDefault="0032744C">
      <w:pPr>
        <w:pStyle w:val="clan"/>
      </w:pPr>
      <w:r>
        <w:t xml:space="preserve">Član 26. </w:t>
      </w:r>
    </w:p>
    <w:p w:rsidR="00000000" w:rsidRDefault="0032744C">
      <w:pPr>
        <w:pStyle w:val="tekst"/>
      </w:pPr>
      <w:r>
        <w:t>Javljači požara u međupodovima i međustropovima, kablovskim kanalima, klima-uređajima i sl., moraju biti grup</w:t>
      </w:r>
      <w:r>
        <w:t xml:space="preserve">isani u odvojene dojavne zone. </w:t>
      </w:r>
    </w:p>
    <w:p w:rsidR="00000000" w:rsidRDefault="0032744C">
      <w:pPr>
        <w:pStyle w:val="clan"/>
      </w:pPr>
      <w:r>
        <w:t xml:space="preserve">Član 27. </w:t>
      </w:r>
    </w:p>
    <w:p w:rsidR="00000000" w:rsidRDefault="0032744C">
      <w:pPr>
        <w:pStyle w:val="tekst"/>
      </w:pPr>
      <w:r>
        <w:t xml:space="preserve">Na svakom javljaču ili u njegovoj neposrednoj blizini mora biti uočljivo kojoj dojavnoj zoni pripada. </w:t>
      </w:r>
    </w:p>
    <w:p w:rsidR="00000000" w:rsidRDefault="0032744C">
      <w:pPr>
        <w:pStyle w:val="clan"/>
      </w:pPr>
      <w:r>
        <w:t xml:space="preserve">Član 28. </w:t>
      </w:r>
    </w:p>
    <w:p w:rsidR="00000000" w:rsidRDefault="0032744C">
      <w:pPr>
        <w:pStyle w:val="tekst"/>
      </w:pPr>
      <w:r>
        <w:t xml:space="preserve">Dojavna zona u primarnom vodu može maksimalno sadržavati 25 automatskih javljača požara. </w:t>
      </w:r>
    </w:p>
    <w:p w:rsidR="00000000" w:rsidRDefault="0032744C">
      <w:pPr>
        <w:pStyle w:val="tekst"/>
      </w:pPr>
      <w:r>
        <w:t>Posebne doj</w:t>
      </w:r>
      <w:r>
        <w:t xml:space="preserve">avne zone sa ručnim javljačima ne smeju sadržavati više od 10 ručnih javljača. </w:t>
      </w:r>
    </w:p>
    <w:p w:rsidR="00000000" w:rsidRDefault="0032744C">
      <w:pPr>
        <w:pStyle w:val="naslov"/>
      </w:pPr>
      <w:r>
        <w:t xml:space="preserve">IX. IZBOR JAVLjAČA POŽARA </w:t>
      </w:r>
    </w:p>
    <w:p w:rsidR="00000000" w:rsidRDefault="0032744C">
      <w:pPr>
        <w:pStyle w:val="clan"/>
      </w:pPr>
      <w:r>
        <w:t xml:space="preserve">Član 29. </w:t>
      </w:r>
    </w:p>
    <w:p w:rsidR="00000000" w:rsidRDefault="0032744C">
      <w:pPr>
        <w:pStyle w:val="tekst"/>
      </w:pPr>
      <w:r>
        <w:t>Izbor javljača požara zavisi od očekivanih požarnih veličina koje se mogu javiti pri nastanku požara, visini prostora, uticaju okolnih pogo</w:t>
      </w:r>
      <w:r>
        <w:t xml:space="preserve">nskih uslova i mogućih izvora smetnji. </w:t>
      </w:r>
    </w:p>
    <w:p w:rsidR="00000000" w:rsidRDefault="0032744C">
      <w:pPr>
        <w:pStyle w:val="tekst"/>
      </w:pPr>
      <w:r>
        <w:t xml:space="preserve">Ako se u fazi nastajanja požara može očekivati tinjajući razvoj s dimom i malo toplote i zračenja plamena, moraju se upotrebiti dimni javljači. </w:t>
      </w:r>
    </w:p>
    <w:p w:rsidR="00000000" w:rsidRDefault="0032744C">
      <w:pPr>
        <w:pStyle w:val="tekst"/>
      </w:pPr>
      <w:r>
        <w:t>Ako se u fazi nastajanja požara može očekivati brzi razvoj požara uz ja</w:t>
      </w:r>
      <w:r>
        <w:t xml:space="preserve">ko oslobađanje toplote i intenzivno zračenje plamena, mogu se primenjivati dimni i termički javljači ili javljači plamena ili njihove kombinacije. </w:t>
      </w:r>
    </w:p>
    <w:p w:rsidR="00000000" w:rsidRDefault="0032744C">
      <w:pPr>
        <w:pStyle w:val="tekst"/>
      </w:pPr>
      <w:r>
        <w:t xml:space="preserve">Dimni javljači se primenjuju u prostorima u kojima mogu nastati štete od dima, bez obzira na to da li je reč o očuvanju ljudskih života ili o skupocenim uređajima osetljivim na dim. </w:t>
      </w:r>
    </w:p>
    <w:p w:rsidR="00000000" w:rsidRDefault="0032744C">
      <w:pPr>
        <w:pStyle w:val="naslov"/>
      </w:pPr>
      <w:r>
        <w:t xml:space="preserve">X. UTICAJ VISINE PROSTORA </w:t>
      </w:r>
    </w:p>
    <w:p w:rsidR="00000000" w:rsidRDefault="0032744C">
      <w:pPr>
        <w:pStyle w:val="clan"/>
      </w:pPr>
      <w:r>
        <w:t xml:space="preserve">Član 30. </w:t>
      </w:r>
    </w:p>
    <w:p w:rsidR="00000000" w:rsidRDefault="0032744C">
      <w:pPr>
        <w:pStyle w:val="tekst"/>
      </w:pPr>
      <w:r>
        <w:t>Međuzavisnost različitih automatskih</w:t>
      </w:r>
      <w:r>
        <w:t xml:space="preserve"> javljača požara i visine prostora mora da odgovara zahtevima datim na slici 1. </w:t>
      </w:r>
    </w:p>
    <w:p w:rsidR="00000000" w:rsidRDefault="0032744C">
      <w:pPr>
        <w:pStyle w:val="alert"/>
      </w:pPr>
      <w:r>
        <w:t xml:space="preserve">Grafički prikaz slike 1 koja je sastavni deo ovog pravilnika nije posebno dat iz tehničkih razloga. </w:t>
      </w:r>
    </w:p>
    <w:p w:rsidR="00000000" w:rsidRDefault="0032744C">
      <w:pPr>
        <w:pStyle w:val="clan"/>
      </w:pPr>
      <w:r>
        <w:t xml:space="preserve">Član 31. </w:t>
      </w:r>
    </w:p>
    <w:p w:rsidR="00000000" w:rsidRDefault="0032744C">
      <w:pPr>
        <w:pStyle w:val="tekst"/>
      </w:pPr>
      <w:r>
        <w:t>Zavisnost površine dimnih javljača na kojoj se primenjuju tehnič</w:t>
      </w:r>
      <w:r>
        <w:t xml:space="preserve">ke mere nadzora i visine prostora mora da odgovara zahtevima datim i na slici 2. </w:t>
      </w:r>
    </w:p>
    <w:p w:rsidR="00000000" w:rsidRDefault="0032744C">
      <w:pPr>
        <w:pStyle w:val="alert"/>
      </w:pPr>
      <w:r>
        <w:lastRenderedPageBreak/>
        <w:t xml:space="preserve">Grafički prikaz slike 2 koja je sastavni deo ovog pravilnika nije posebno dat iz tehničkih razloga. </w:t>
      </w:r>
    </w:p>
    <w:p w:rsidR="00000000" w:rsidRDefault="0032744C">
      <w:pPr>
        <w:pStyle w:val="naslov"/>
      </w:pPr>
      <w:r>
        <w:t xml:space="preserve">XI. UTICAJ TEMPERATURE, STRUJANjA VAZDUHA I VIBRACIJA </w:t>
      </w:r>
    </w:p>
    <w:p w:rsidR="00000000" w:rsidRDefault="0032744C">
      <w:pPr>
        <w:pStyle w:val="clan"/>
      </w:pPr>
      <w:r>
        <w:t xml:space="preserve">Član 32. </w:t>
      </w:r>
    </w:p>
    <w:p w:rsidR="00000000" w:rsidRDefault="0032744C">
      <w:pPr>
        <w:pStyle w:val="tekst"/>
      </w:pPr>
      <w:r>
        <w:t>Dimni ja</w:t>
      </w:r>
      <w:r>
        <w:t xml:space="preserve">vljači i javljači plamena mogu se postavljati na mesta na kojima temperatura ne prelazi +50 </w:t>
      </w:r>
      <w:r>
        <w:rPr>
          <w:vertAlign w:val="superscript"/>
        </w:rPr>
        <w:t>o</w:t>
      </w:r>
      <w:r>
        <w:t xml:space="preserve">S . </w:t>
      </w:r>
    </w:p>
    <w:p w:rsidR="00000000" w:rsidRDefault="0032744C">
      <w:pPr>
        <w:pStyle w:val="tekst"/>
      </w:pPr>
      <w:r>
        <w:t xml:space="preserve">Temperatura reagovanja termičkih javljača mora biti između 10 i 35 </w:t>
      </w:r>
      <w:r>
        <w:rPr>
          <w:vertAlign w:val="superscript"/>
        </w:rPr>
        <w:t>o</w:t>
      </w:r>
      <w:r>
        <w:t>S iznad najviše temperature koja može nastati prirodnim ili pogonskim delovanjem u okolini</w:t>
      </w:r>
      <w:r>
        <w:t xml:space="preserve"> javljača. </w:t>
      </w:r>
    </w:p>
    <w:p w:rsidR="00000000" w:rsidRDefault="0032744C">
      <w:pPr>
        <w:pStyle w:val="tekst"/>
      </w:pPr>
      <w:r>
        <w:t>U prostorima s temperaturom ispod 0</w:t>
      </w:r>
      <w:r>
        <w:rPr>
          <w:vertAlign w:val="superscript"/>
        </w:rPr>
        <w:t>o</w:t>
      </w:r>
      <w:r>
        <w:t xml:space="preserve">S ne postavljaju se dimni javljači. </w:t>
      </w:r>
    </w:p>
    <w:p w:rsidR="00000000" w:rsidRDefault="0032744C">
      <w:pPr>
        <w:pStyle w:val="tekst"/>
      </w:pPr>
      <w:r>
        <w:t xml:space="preserve">Za temperature ispod 0 </w:t>
      </w:r>
      <w:r>
        <w:rPr>
          <w:vertAlign w:val="superscript"/>
        </w:rPr>
        <w:t>o</w:t>
      </w:r>
      <w:r>
        <w:t xml:space="preserve">S preporučuju se termički javljači požara. </w:t>
      </w:r>
    </w:p>
    <w:p w:rsidR="00000000" w:rsidRDefault="0032744C">
      <w:pPr>
        <w:pStyle w:val="clan"/>
      </w:pPr>
      <w:r>
        <w:t xml:space="preserve">Član 33. </w:t>
      </w:r>
    </w:p>
    <w:p w:rsidR="00000000" w:rsidRDefault="0032744C">
      <w:pPr>
        <w:pStyle w:val="tekst"/>
      </w:pPr>
      <w:r>
        <w:t>Dimni javljači mogu biti postavljeni u prostoru u kojem brzina strujanja vazduha nije veća od</w:t>
      </w:r>
      <w:r>
        <w:t xml:space="preserve"> 5 m/s, osim ako je dozvoljena primena javljača i za veće brzine. </w:t>
      </w:r>
    </w:p>
    <w:p w:rsidR="00000000" w:rsidRDefault="0032744C">
      <w:pPr>
        <w:pStyle w:val="tekst"/>
      </w:pPr>
      <w:r>
        <w:t xml:space="preserve">Termički javljači i javljači plamena ne podležu uticaju brzine strujanja vazduha. </w:t>
      </w:r>
    </w:p>
    <w:p w:rsidR="00000000" w:rsidRDefault="0032744C">
      <w:pPr>
        <w:pStyle w:val="clan"/>
      </w:pPr>
      <w:r>
        <w:t xml:space="preserve">Član 34. </w:t>
      </w:r>
    </w:p>
    <w:p w:rsidR="00000000" w:rsidRDefault="0032744C">
      <w:pPr>
        <w:pStyle w:val="tekst"/>
      </w:pPr>
      <w:r>
        <w:t>Vibracije ne smeju da utiču na pravilan rad javljača požara. Pre montaže javljača treba izmeriti</w:t>
      </w:r>
      <w:r>
        <w:t xml:space="preserve"> vibracije i utvrditi moguće uticaje. </w:t>
      </w:r>
    </w:p>
    <w:p w:rsidR="00000000" w:rsidRDefault="0032744C">
      <w:pPr>
        <w:pStyle w:val="naslov"/>
      </w:pPr>
      <w:r>
        <w:t xml:space="preserve">XII. UTICAJ VLAGE, DIMA, PRAŠINE I SVETLOSTI </w:t>
      </w:r>
    </w:p>
    <w:p w:rsidR="00000000" w:rsidRDefault="0032744C">
      <w:pPr>
        <w:pStyle w:val="clan"/>
      </w:pPr>
      <w:r>
        <w:t xml:space="preserve">Član 35. </w:t>
      </w:r>
    </w:p>
    <w:p w:rsidR="00000000" w:rsidRDefault="0032744C">
      <w:pPr>
        <w:pStyle w:val="tekst"/>
      </w:pPr>
      <w:r>
        <w:t xml:space="preserve">Dozvoljena je relativna vlaga vazduha do 95%, ali se mora onemogućiti stvaranje magle i rose kod dimnih javljača. </w:t>
      </w:r>
    </w:p>
    <w:p w:rsidR="00000000" w:rsidRDefault="0032744C">
      <w:pPr>
        <w:pStyle w:val="tekst"/>
      </w:pPr>
      <w:r>
        <w:t>Pri sprovođenju tehničkih mera nadzora u prost</w:t>
      </w:r>
      <w:r>
        <w:t xml:space="preserve">orima u kojima postoji mogućnost prskanja vode obavezno se upotrebljavaju javljači odgovarajuće zaštite. </w:t>
      </w:r>
    </w:p>
    <w:p w:rsidR="00000000" w:rsidRDefault="0032744C">
      <w:pPr>
        <w:pStyle w:val="clan"/>
      </w:pPr>
      <w:r>
        <w:t xml:space="preserve">Član 36. </w:t>
      </w:r>
    </w:p>
    <w:p w:rsidR="00000000" w:rsidRDefault="0032744C">
      <w:pPr>
        <w:pStyle w:val="tekst"/>
      </w:pPr>
      <w:r>
        <w:t>Ako su u pogonima propratne pojave dim, prašina ili slični aerosoli, lažno uzbunjivanje dimnih javljača treba sprečiti primenom filtra i zak</w:t>
      </w:r>
      <w:r>
        <w:t xml:space="preserve">lona. </w:t>
      </w:r>
    </w:p>
    <w:p w:rsidR="00000000" w:rsidRDefault="0032744C">
      <w:pPr>
        <w:pStyle w:val="tekst"/>
      </w:pPr>
      <w:r>
        <w:t xml:space="preserve">Upotreba termičkih javljača je pouzdanija i sigurnija. </w:t>
      </w:r>
    </w:p>
    <w:p w:rsidR="00000000" w:rsidRDefault="0032744C">
      <w:pPr>
        <w:pStyle w:val="clan"/>
      </w:pPr>
      <w:r>
        <w:t xml:space="preserve">Član 37. </w:t>
      </w:r>
    </w:p>
    <w:p w:rsidR="00000000" w:rsidRDefault="0032744C">
      <w:pPr>
        <w:pStyle w:val="tekst"/>
      </w:pPr>
      <w:r>
        <w:t>Ako je zbog visine prostora ili iz drugih razloga, neizbežna upotreba javljača plamena, neželjene uticaje svetlosti treba sprečiti primenom posebnih zavesica i prekrivača koji se stav</w:t>
      </w:r>
      <w:r>
        <w:t xml:space="preserve">ljaju na javljače. </w:t>
      </w:r>
    </w:p>
    <w:p w:rsidR="00000000" w:rsidRDefault="0032744C">
      <w:pPr>
        <w:pStyle w:val="naslov"/>
      </w:pPr>
      <w:r>
        <w:t xml:space="preserve">XIII. BROJ I RAZMEŠTAJ JAVLjAČA POŽARA </w:t>
      </w:r>
    </w:p>
    <w:p w:rsidR="00000000" w:rsidRDefault="0032744C">
      <w:pPr>
        <w:pStyle w:val="clan"/>
      </w:pPr>
      <w:r>
        <w:t xml:space="preserve">Član 38. </w:t>
      </w:r>
    </w:p>
    <w:p w:rsidR="00000000" w:rsidRDefault="0032744C">
      <w:pPr>
        <w:pStyle w:val="tekst"/>
      </w:pPr>
      <w:r>
        <w:t xml:space="preserve">Broj i razmeštaj javljača požara određuju se prema vrsti javljača, prostornoj geometriji štićenog prostora i uslovima okoline. </w:t>
      </w:r>
    </w:p>
    <w:p w:rsidR="00000000" w:rsidRDefault="0032744C">
      <w:pPr>
        <w:pStyle w:val="tekst"/>
      </w:pPr>
      <w:r>
        <w:t xml:space="preserve">Javljači se odabiraju tako da očekivane požare mogu detektovati u početnim fazama, a smeštaju tako da se spreče lažna uzbunjivanja. </w:t>
      </w:r>
    </w:p>
    <w:p w:rsidR="00000000" w:rsidRDefault="0032744C">
      <w:pPr>
        <w:pStyle w:val="clan"/>
      </w:pPr>
      <w:r>
        <w:t xml:space="preserve">Član 39. </w:t>
      </w:r>
    </w:p>
    <w:p w:rsidR="00000000" w:rsidRDefault="0032744C">
      <w:pPr>
        <w:pStyle w:val="tekst"/>
      </w:pPr>
      <w:r>
        <w:t xml:space="preserve">Broj javljača površina na kojima se primenjuju tehničke mere nadzora moraju ispunjavati zahteve date u tabeli 1. </w:t>
      </w:r>
    </w:p>
    <w:p w:rsidR="00000000" w:rsidRDefault="0032744C">
      <w:pPr>
        <w:pStyle w:val="odluciob"/>
      </w:pPr>
      <w:r>
        <w:t xml:space="preserve">Tabela 1 </w:t>
      </w:r>
    </w:p>
    <w:tbl>
      <w:tblPr>
        <w:tblW w:w="1009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1"/>
        <w:gridCol w:w="1385"/>
        <w:gridCol w:w="1478"/>
        <w:gridCol w:w="491"/>
        <w:gridCol w:w="524"/>
        <w:gridCol w:w="609"/>
        <w:gridCol w:w="491"/>
        <w:gridCol w:w="524"/>
        <w:gridCol w:w="631"/>
        <w:gridCol w:w="491"/>
        <w:gridCol w:w="524"/>
        <w:gridCol w:w="1116"/>
      </w:tblGrid>
      <w:tr w:rsidR="00000000">
        <w:trPr>
          <w:tblCellSpacing w:w="7" w:type="dxa"/>
          <w:jc w:val="center"/>
        </w:trPr>
        <w:tc>
          <w:tcPr>
            <w:tcW w:w="1560" w:type="dxa"/>
            <w:vMerge w:val="restar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OSNOVNA POVRŠINA NADZIRANOG PROSTORA </w:t>
            </w:r>
            <w:r>
              <w:br/>
              <w:t>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260" w:type="dxa"/>
            <w:vMerge w:val="restar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TIP JAVLjAČA </w:t>
            </w:r>
          </w:p>
        </w:tc>
        <w:tc>
          <w:tcPr>
            <w:tcW w:w="1260" w:type="dxa"/>
            <w:vMerge w:val="restar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VISINA PROSTORA m </w:t>
            </w:r>
          </w:p>
        </w:tc>
        <w:tc>
          <w:tcPr>
            <w:tcW w:w="4860" w:type="dxa"/>
            <w:gridSpan w:val="9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Maksimalna površina nadzora (A) i najveći dozvoljeni horizontalni razmak između javljača i određene tačke stropa ( D ) i pripadajuća granična krivulja (K)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4860" w:type="dxa"/>
            <w:gridSpan w:val="9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NAGIB KROVA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1335" w:type="dxa"/>
            <w:gridSpan w:val="3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&lt;15 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1380" w:type="dxa"/>
            <w:gridSpan w:val="3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&gt;15-30 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1680" w:type="dxa"/>
            <w:gridSpan w:val="3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&gt;30 </w:t>
            </w:r>
            <w:r>
              <w:rPr>
                <w:vertAlign w:val="superscript"/>
              </w:rPr>
              <w:t xml:space="preserve">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A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D </w:t>
            </w:r>
          </w:p>
        </w:tc>
        <w:tc>
          <w:tcPr>
            <w:tcW w:w="210" w:type="dxa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33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A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D </w:t>
            </w:r>
          </w:p>
        </w:tc>
        <w:tc>
          <w:tcPr>
            <w:tcW w:w="255" w:type="dxa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A </w:t>
            </w:r>
          </w:p>
        </w:tc>
        <w:tc>
          <w:tcPr>
            <w:tcW w:w="40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D </w:t>
            </w:r>
          </w:p>
        </w:tc>
        <w:tc>
          <w:tcPr>
            <w:tcW w:w="450" w:type="dxa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5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&lt;80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DIMNI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&lt;12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80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6,7 m </w:t>
            </w:r>
          </w:p>
        </w:tc>
        <w:tc>
          <w:tcPr>
            <w:tcW w:w="21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7 </w:t>
            </w:r>
          </w:p>
        </w:tc>
        <w:tc>
          <w:tcPr>
            <w:tcW w:w="33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30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7,2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25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8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80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40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8,0 m </w:t>
            </w:r>
          </w:p>
        </w:tc>
        <w:tc>
          <w:tcPr>
            <w:tcW w:w="45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5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&gt;80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DIMNI </w:t>
            </w:r>
            <w:r>
              <w:br/>
              <w:t xml:space="preserve">DIMNI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&lt;6 </w:t>
            </w:r>
            <w:r>
              <w:br/>
              <w:t xml:space="preserve">6-12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60 m</w:t>
            </w:r>
            <w:r>
              <w:rPr>
                <w:vertAlign w:val="superscript"/>
              </w:rPr>
              <w:t xml:space="preserve">2 </w:t>
            </w:r>
            <w:r>
              <w:rPr>
                <w:vertAlign w:val="superscript"/>
              </w:rPr>
              <w:br/>
            </w:r>
            <w:r>
              <w:t>80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5,8 m </w:t>
            </w:r>
            <w:r>
              <w:br/>
              <w:t xml:space="preserve">6,7 m </w:t>
            </w:r>
          </w:p>
        </w:tc>
        <w:tc>
          <w:tcPr>
            <w:tcW w:w="21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5 </w:t>
            </w:r>
            <w:r>
              <w:br/>
              <w:t xml:space="preserve">K </w:t>
            </w:r>
            <w:r>
              <w:rPr>
                <w:vertAlign w:val="subscript"/>
              </w:rPr>
              <w:t xml:space="preserve">7 </w:t>
            </w:r>
          </w:p>
        </w:tc>
        <w:tc>
          <w:tcPr>
            <w:tcW w:w="33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80 m</w:t>
            </w:r>
            <w:r>
              <w:rPr>
                <w:vertAlign w:val="superscript"/>
              </w:rPr>
              <w:t xml:space="preserve">2 </w:t>
            </w:r>
            <w:r>
              <w:rPr>
                <w:vertAlign w:val="superscript"/>
              </w:rPr>
              <w:br/>
            </w:r>
            <w:r>
              <w:t>00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7,2 m </w:t>
            </w:r>
            <w:r>
              <w:br/>
              <w:t>8,0 m</w:t>
            </w:r>
            <w:r>
              <w:t xml:space="preserve"> </w:t>
            </w:r>
          </w:p>
        </w:tc>
        <w:tc>
          <w:tcPr>
            <w:tcW w:w="25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8 </w:t>
            </w:r>
            <w:r>
              <w:br/>
              <w:t xml:space="preserve">K </w:t>
            </w:r>
            <w:r>
              <w:rPr>
                <w:vertAlign w:val="subscript"/>
              </w:rPr>
              <w:t xml:space="preserve">9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00 m</w:t>
            </w:r>
            <w:r>
              <w:rPr>
                <w:vertAlign w:val="superscript"/>
              </w:rPr>
              <w:t xml:space="preserve">2 </w:t>
            </w:r>
            <w:r>
              <w:rPr>
                <w:vertAlign w:val="superscript"/>
              </w:rPr>
              <w:br/>
            </w:r>
            <w:r>
              <w:t>20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40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9,0 m </w:t>
            </w:r>
            <w:r>
              <w:br/>
              <w:t xml:space="preserve">9,9 m </w:t>
            </w:r>
          </w:p>
        </w:tc>
        <w:tc>
          <w:tcPr>
            <w:tcW w:w="45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10 </w:t>
            </w:r>
            <w:r>
              <w:br/>
              <w:t xml:space="preserve">K </w:t>
            </w:r>
            <w:r>
              <w:rPr>
                <w:vertAlign w:val="subscript"/>
              </w:rPr>
              <w:t xml:space="preserve">11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5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&lt;30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TERMIČKI 1 </w:t>
            </w:r>
            <w:r>
              <w:br/>
              <w:t xml:space="preserve">TERMIČKI 2 </w:t>
            </w:r>
            <w:r>
              <w:br/>
              <w:t xml:space="preserve">TERMIČKI 3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7,5 </w:t>
            </w:r>
            <w:r>
              <w:br/>
              <w:t xml:space="preserve">6,0 </w:t>
            </w:r>
            <w:r>
              <w:br/>
              <w:t xml:space="preserve">4,5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30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4,4 m </w:t>
            </w:r>
          </w:p>
        </w:tc>
        <w:tc>
          <w:tcPr>
            <w:tcW w:w="21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2 </w:t>
            </w:r>
          </w:p>
        </w:tc>
        <w:tc>
          <w:tcPr>
            <w:tcW w:w="33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30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4,9 m </w:t>
            </w:r>
          </w:p>
        </w:tc>
        <w:tc>
          <w:tcPr>
            <w:tcW w:w="25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3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30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40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5,5 m </w:t>
            </w:r>
          </w:p>
        </w:tc>
        <w:tc>
          <w:tcPr>
            <w:tcW w:w="45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5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&gt;30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TERMIČKI 1 </w:t>
            </w:r>
            <w:r>
              <w:br/>
              <w:t xml:space="preserve">TERMIČKI 2 </w:t>
            </w:r>
            <w:r>
              <w:br/>
              <w:t xml:space="preserve">TERMIČKI 3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7,5 </w:t>
            </w:r>
            <w:r>
              <w:br/>
              <w:t xml:space="preserve">6,0 </w:t>
            </w:r>
            <w:r>
              <w:br/>
              <w:t xml:space="preserve">4,5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20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3,6 m </w:t>
            </w:r>
          </w:p>
        </w:tc>
        <w:tc>
          <w:tcPr>
            <w:tcW w:w="21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1 </w:t>
            </w:r>
          </w:p>
        </w:tc>
        <w:tc>
          <w:tcPr>
            <w:tcW w:w="33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30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4,9 m </w:t>
            </w:r>
          </w:p>
        </w:tc>
        <w:tc>
          <w:tcPr>
            <w:tcW w:w="25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3 </w:t>
            </w:r>
          </w:p>
        </w:tc>
        <w:tc>
          <w:tcPr>
            <w:tcW w:w="31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>40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405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6,3 m </w:t>
            </w:r>
          </w:p>
        </w:tc>
        <w:tc>
          <w:tcPr>
            <w:tcW w:w="45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K </w:t>
            </w:r>
            <w:r>
              <w:rPr>
                <w:vertAlign w:val="subscript"/>
              </w:rP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560" w:type="dxa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JAVLjAČ PLAMENA </w:t>
            </w:r>
          </w:p>
        </w:tc>
        <w:tc>
          <w:tcPr>
            <w:tcW w:w="1260" w:type="dxa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1,5-20 </w:t>
            </w:r>
          </w:p>
        </w:tc>
        <w:tc>
          <w:tcPr>
            <w:tcW w:w="4860" w:type="dxa"/>
            <w:gridSpan w:val="9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POSEBNO ZA SVAKI POJEDINAČNI SLUČAJ </w:t>
            </w:r>
          </w:p>
        </w:tc>
      </w:tr>
    </w:tbl>
    <w:p w:rsidR="00000000" w:rsidRDefault="0032744C">
      <w:pPr>
        <w:pStyle w:val="nabrajanje"/>
      </w:pPr>
      <w:r>
        <w:t xml:space="preserve">Tabela 1 </w:t>
      </w:r>
    </w:p>
    <w:p w:rsidR="00000000" w:rsidRDefault="0032744C">
      <w:pPr>
        <w:pStyle w:val="tekst"/>
      </w:pPr>
      <w:r>
        <w:t xml:space="preserve">Maksimalno dozvoljeni horizontalni razmaci između javljača određeni su dijagramom na slici 3. </w:t>
      </w:r>
    </w:p>
    <w:p w:rsidR="00000000" w:rsidRDefault="0032744C">
      <w:pPr>
        <w:pStyle w:val="alert"/>
      </w:pPr>
      <w:r>
        <w:t xml:space="preserve">Grafički prikaz slike 3 koja je sastavni deo ovog pravilnika nije posebno dat iz tehničkih razloga. </w:t>
      </w:r>
    </w:p>
    <w:p w:rsidR="00000000" w:rsidRDefault="0032744C">
      <w:pPr>
        <w:pStyle w:val="tekst"/>
      </w:pPr>
      <w:r>
        <w:t xml:space="preserve">Dozvoljeno odstupanje od kvadratne raspodele javljača može biti prema izvedenim graničnim krivuljama K. </w:t>
      </w:r>
    </w:p>
    <w:p w:rsidR="00000000" w:rsidRDefault="0032744C">
      <w:pPr>
        <w:pStyle w:val="tekst"/>
      </w:pPr>
      <w:r>
        <w:t>Unutar pripadajućih graničnih krivulja odabrati ra</w:t>
      </w:r>
      <w:r>
        <w:t xml:space="preserve">zmake za "a" i "b". </w:t>
      </w:r>
    </w:p>
    <w:p w:rsidR="00000000" w:rsidRDefault="0032744C">
      <w:pPr>
        <w:pStyle w:val="tekst"/>
      </w:pPr>
      <w:r>
        <w:t xml:space="preserve">U području između Y i Z jače izvučene granične krivulje označavaju maksimalnu nadziranu površinu. </w:t>
      </w:r>
    </w:p>
    <w:p w:rsidR="00000000" w:rsidRDefault="0032744C">
      <w:pPr>
        <w:pStyle w:val="clan"/>
      </w:pPr>
      <w:r>
        <w:t xml:space="preserve">Član 40. </w:t>
      </w:r>
    </w:p>
    <w:p w:rsidR="00000000" w:rsidRDefault="0032744C">
      <w:pPr>
        <w:pStyle w:val="tekst"/>
      </w:pPr>
      <w:r>
        <w:t xml:space="preserve">Pri projektovanju javljača za dvozonsku zavisnost za iste požarne veličine definisane nadzirane površine redukuju se za 50%. </w:t>
      </w:r>
    </w:p>
    <w:p w:rsidR="00000000" w:rsidRDefault="0032744C">
      <w:pPr>
        <w:pStyle w:val="clan"/>
      </w:pPr>
      <w:r>
        <w:t xml:space="preserve">Član 41. </w:t>
      </w:r>
    </w:p>
    <w:p w:rsidR="00000000" w:rsidRDefault="0032744C">
      <w:pPr>
        <w:pStyle w:val="tekst"/>
      </w:pPr>
      <w:r>
        <w:t xml:space="preserve">Dimne i termičke javljače požara treba, po pravilu, postavljati pod stropom, a ako nije to moguće, dozvoljeno je postavljanje na zidove, nosače, stubove ili vešanjem na žičanu užad ispod krova zgrade sa svetlarnicima. </w:t>
      </w:r>
    </w:p>
    <w:p w:rsidR="00000000" w:rsidRDefault="0032744C">
      <w:pPr>
        <w:pStyle w:val="tekst"/>
      </w:pPr>
      <w:r>
        <w:t xml:space="preserve">Potrebni razmaci dimnih javljača prema stropu dati su u tabeli 2. </w:t>
      </w:r>
    </w:p>
    <w:tbl>
      <w:tblPr>
        <w:tblW w:w="747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5"/>
        <w:gridCol w:w="971"/>
        <w:gridCol w:w="972"/>
        <w:gridCol w:w="972"/>
        <w:gridCol w:w="972"/>
        <w:gridCol w:w="972"/>
        <w:gridCol w:w="1126"/>
      </w:tblGrid>
      <w:tr w:rsidR="00000000">
        <w:trPr>
          <w:tblCellSpacing w:w="7" w:type="dxa"/>
          <w:jc w:val="center"/>
        </w:trPr>
        <w:tc>
          <w:tcPr>
            <w:tcW w:w="700" w:type="pct"/>
            <w:vMerge w:val="restart"/>
            <w:hideMark/>
          </w:tcPr>
          <w:p w:rsidR="00000000" w:rsidRDefault="0032744C">
            <w:pPr>
              <w:pStyle w:val="NormalWeb"/>
              <w:jc w:val="center"/>
            </w:pPr>
            <w:r>
              <w:lastRenderedPageBreak/>
              <w:t xml:space="preserve">VISINA PROSTORA m </w:t>
            </w:r>
          </w:p>
        </w:tc>
        <w:tc>
          <w:tcPr>
            <w:tcW w:w="4300" w:type="pct"/>
            <w:gridSpan w:val="6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Razmak ( DV ) dimnih javljača u odnosu na strop ili krov mm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1400" w:type="pct"/>
            <w:gridSpan w:val="2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Nagib krova do 5 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1400" w:type="pct"/>
            <w:gridSpan w:val="2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Nagib krova </w:t>
            </w:r>
            <w:r>
              <w:br/>
              <w:t xml:space="preserve">&gt;15 </w:t>
            </w:r>
            <w:r>
              <w:rPr>
                <w:vertAlign w:val="superscript"/>
              </w:rPr>
              <w:t xml:space="preserve">0 </w:t>
            </w:r>
            <w:r>
              <w:t xml:space="preserve">-30 </w:t>
            </w:r>
            <w:r>
              <w:rPr>
                <w:vertAlign w:val="superscript"/>
              </w:rPr>
              <w:t xml:space="preserve">0 </w:t>
            </w:r>
          </w:p>
        </w:tc>
        <w:tc>
          <w:tcPr>
            <w:tcW w:w="1450" w:type="pct"/>
            <w:gridSpan w:val="2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Nagib krova </w:t>
            </w:r>
            <w:r>
              <w:br/>
              <w:t xml:space="preserve">&gt;30 </w:t>
            </w:r>
            <w:r>
              <w:rPr>
                <w:vertAlign w:val="superscript"/>
              </w:rPr>
              <w:t xml:space="preserve">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32744C"/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min.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maks.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min.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maks.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min.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maks.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do 6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200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200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300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od 6 do 8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250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250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400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600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od 8 do 10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100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500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od 10 do 12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150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350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600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600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800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od 12 do 20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250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450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500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700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800 </w:t>
            </w:r>
          </w:p>
        </w:tc>
        <w:tc>
          <w:tcPr>
            <w:tcW w:w="750" w:type="pct"/>
            <w:hideMark/>
          </w:tcPr>
          <w:p w:rsidR="00000000" w:rsidRDefault="0032744C">
            <w:pPr>
              <w:pStyle w:val="NormalWeb"/>
              <w:jc w:val="center"/>
            </w:pPr>
            <w:r>
              <w:t xml:space="preserve">1000 </w:t>
            </w:r>
          </w:p>
        </w:tc>
      </w:tr>
    </w:tbl>
    <w:p w:rsidR="00000000" w:rsidRDefault="0032744C">
      <w:pPr>
        <w:pStyle w:val="nabrajanje"/>
      </w:pPr>
      <w:r>
        <w:t xml:space="preserve">Tabela 2 </w:t>
      </w:r>
    </w:p>
    <w:p w:rsidR="00000000" w:rsidRDefault="0032744C">
      <w:pPr>
        <w:pStyle w:val="naslov"/>
      </w:pPr>
      <w:r>
        <w:t xml:space="preserve">XIV. RAZMEŠTAJ JAVLjAČA KOD STROPOVA S POTPORAMA </w:t>
      </w:r>
    </w:p>
    <w:p w:rsidR="00000000" w:rsidRDefault="0032744C">
      <w:pPr>
        <w:pStyle w:val="clan"/>
      </w:pPr>
      <w:r>
        <w:t xml:space="preserve">Član 42. </w:t>
      </w:r>
    </w:p>
    <w:p w:rsidR="00000000" w:rsidRDefault="0032744C">
      <w:pPr>
        <w:pStyle w:val="tekst"/>
      </w:pPr>
      <w:r>
        <w:t xml:space="preserve">Potpore, nosači, grede, rebra i dr. utiču na razmeštaj javljača ako im je visina veća od određene visine. </w:t>
      </w:r>
    </w:p>
    <w:p w:rsidR="00000000" w:rsidRDefault="0032744C">
      <w:pPr>
        <w:pStyle w:val="tekst"/>
      </w:pPr>
      <w:r>
        <w:t xml:space="preserve">Međuzavisnost visine prostora, visine potpora i uticaja na razmeštaj javljača data je na </w:t>
      </w:r>
      <w:r>
        <w:t xml:space="preserve">slici 4. </w:t>
      </w:r>
    </w:p>
    <w:p w:rsidR="00000000" w:rsidRDefault="0032744C">
      <w:pPr>
        <w:pStyle w:val="alert"/>
      </w:pPr>
      <w:r>
        <w:t xml:space="preserve">Grafički prikaz slike 3 koja je sastavni deo ovog pravilnika nije posebno dat iz tehničkih razloga. </w:t>
      </w:r>
    </w:p>
    <w:p w:rsidR="00000000" w:rsidRDefault="0032744C">
      <w:pPr>
        <w:pStyle w:val="clan"/>
      </w:pPr>
      <w:r>
        <w:t xml:space="preserve">Član 43. </w:t>
      </w:r>
    </w:p>
    <w:p w:rsidR="00000000" w:rsidRDefault="0032744C">
      <w:pPr>
        <w:pStyle w:val="tekst"/>
      </w:pPr>
      <w:r>
        <w:t>Ako je pojedini deo stropa veći ili jednak 0,6-strukoj dozvoljenoj nadziranoj površini javljača, tada u svako polje treba postaviti jav</w:t>
      </w:r>
      <w:r>
        <w:t xml:space="preserve">ljače. </w:t>
      </w:r>
    </w:p>
    <w:p w:rsidR="00000000" w:rsidRDefault="0032744C">
      <w:pPr>
        <w:pStyle w:val="tekst"/>
      </w:pPr>
      <w:r>
        <w:t xml:space="preserve">Ako su površine polja veće od dozvoljene nadzirane površine, pojedina polja treba posmatrati kao zasebne prostore. </w:t>
      </w:r>
    </w:p>
    <w:p w:rsidR="00000000" w:rsidRDefault="0032744C">
      <w:pPr>
        <w:pStyle w:val="tekst"/>
      </w:pPr>
      <w:r>
        <w:t xml:space="preserve">Ako je visina potpora iznad 800 mm , za svako polje stropa mora se predvideti po jedan javljač. </w:t>
      </w:r>
    </w:p>
    <w:p w:rsidR="00000000" w:rsidRDefault="0032744C">
      <w:pPr>
        <w:pStyle w:val="naslov"/>
      </w:pPr>
      <w:r>
        <w:t>XV. SMEŠTAJ JAVLjAČA U USKIM PROSTO</w:t>
      </w:r>
      <w:r>
        <w:t xml:space="preserve">RIMA </w:t>
      </w:r>
    </w:p>
    <w:p w:rsidR="00000000" w:rsidRDefault="0032744C">
      <w:pPr>
        <w:pStyle w:val="clan"/>
      </w:pPr>
      <w:r>
        <w:t xml:space="preserve">Član 44. </w:t>
      </w:r>
    </w:p>
    <w:p w:rsidR="00000000" w:rsidRDefault="0032744C">
      <w:pPr>
        <w:pStyle w:val="tekst"/>
      </w:pPr>
      <w:r>
        <w:t xml:space="preserve">U prolazima, hodnicima i drugim prostorima sa stropom užim od 3 m razmaci između javljača moraju biti: </w:t>
      </w:r>
    </w:p>
    <w:p w:rsidR="00000000" w:rsidRDefault="0032744C">
      <w:pPr>
        <w:pStyle w:val="tekst"/>
      </w:pPr>
      <w:r>
        <w:t xml:space="preserve">- za termičke javljače do 10 m , </w:t>
      </w:r>
    </w:p>
    <w:p w:rsidR="00000000" w:rsidRDefault="0032744C">
      <w:pPr>
        <w:pStyle w:val="tekst"/>
      </w:pPr>
      <w:r>
        <w:t xml:space="preserve">- za dimne javljače do 15 m . </w:t>
      </w:r>
    </w:p>
    <w:p w:rsidR="00000000" w:rsidRDefault="0032744C">
      <w:pPr>
        <w:pStyle w:val="tekst"/>
      </w:pPr>
      <w:r>
        <w:t xml:space="preserve">Maksimalno dozvoljene nadzirane površine ne smeju se prekoračiti. </w:t>
      </w:r>
    </w:p>
    <w:p w:rsidR="00000000" w:rsidRDefault="0032744C">
      <w:pPr>
        <w:pStyle w:val="naslov"/>
      </w:pPr>
      <w:r>
        <w:t xml:space="preserve">XVI. RAZMAK JAVLjAČA OD ZIDOVA </w:t>
      </w:r>
    </w:p>
    <w:p w:rsidR="00000000" w:rsidRDefault="0032744C">
      <w:pPr>
        <w:pStyle w:val="clan"/>
      </w:pPr>
      <w:r>
        <w:t xml:space="preserve">Član 45. </w:t>
      </w:r>
    </w:p>
    <w:p w:rsidR="00000000" w:rsidRDefault="0032744C">
      <w:pPr>
        <w:pStyle w:val="tekst"/>
      </w:pPr>
      <w:r>
        <w:t xml:space="preserve">Razmak javljača od zidova ne sme biti manji od 0,5 m , izuzev prolaza i kanala širine manje od 1 m . </w:t>
      </w:r>
    </w:p>
    <w:p w:rsidR="00000000" w:rsidRDefault="0032744C">
      <w:pPr>
        <w:pStyle w:val="tekst"/>
      </w:pPr>
      <w:r>
        <w:t xml:space="preserve">Dozvoljeni razmak od zida može se odabrati prema dijagramu na slici 5. </w:t>
      </w:r>
    </w:p>
    <w:p w:rsidR="00000000" w:rsidRDefault="0032744C">
      <w:pPr>
        <w:pStyle w:val="alert"/>
      </w:pPr>
      <w:r>
        <w:lastRenderedPageBreak/>
        <w:t>Grafički prikaz slike 5 koja je sastavni</w:t>
      </w:r>
      <w:r>
        <w:t xml:space="preserve"> deo ovog pravilnika nije posebno dat iz tehničkih razloga. </w:t>
      </w:r>
    </w:p>
    <w:p w:rsidR="00000000" w:rsidRDefault="0032744C">
      <w:pPr>
        <w:pStyle w:val="tekst"/>
      </w:pPr>
      <w:r>
        <w:t xml:space="preserve">A - površina koja se nadzire </w:t>
      </w:r>
    </w:p>
    <w:p w:rsidR="00000000" w:rsidRDefault="0032744C">
      <w:pPr>
        <w:pStyle w:val="tekst"/>
      </w:pPr>
      <w:r>
        <w:t xml:space="preserve">B - razmak među javljačima </w:t>
      </w:r>
    </w:p>
    <w:p w:rsidR="00000000" w:rsidRDefault="0032744C">
      <w:pPr>
        <w:pStyle w:val="tekst"/>
      </w:pPr>
      <w:r>
        <w:t xml:space="preserve">C - razmak između javljača i zida </w:t>
      </w:r>
    </w:p>
    <w:p w:rsidR="00000000" w:rsidRDefault="0032744C">
      <w:pPr>
        <w:pStyle w:val="naslov"/>
      </w:pPr>
      <w:r>
        <w:t xml:space="preserve">XVII. RAZMAK JAVLjAČA OD USKLADIŠTENE ROBE ILI UREĐAJA </w:t>
      </w:r>
    </w:p>
    <w:p w:rsidR="00000000" w:rsidRDefault="0032744C">
      <w:pPr>
        <w:pStyle w:val="clan"/>
      </w:pPr>
      <w:r>
        <w:t xml:space="preserve">Član 46. </w:t>
      </w:r>
    </w:p>
    <w:p w:rsidR="00000000" w:rsidRDefault="0032744C">
      <w:pPr>
        <w:pStyle w:val="tekst"/>
      </w:pPr>
      <w:r>
        <w:t>Horizontalni i vertikalni razmak jav</w:t>
      </w:r>
      <w:r>
        <w:t xml:space="preserve">ljača od uređaja ili uskladištene robe ne sme ni na jednom mestu biti manji od 0,5 m. </w:t>
      </w:r>
    </w:p>
    <w:p w:rsidR="00000000" w:rsidRDefault="0032744C">
      <w:pPr>
        <w:pStyle w:val="tekst"/>
      </w:pPr>
      <w:r>
        <w:t xml:space="preserve">Uskladišteni materijal koji do stropa ne ostavlja veći otvor od 5% visine prostora smatra se zidom. </w:t>
      </w:r>
    </w:p>
    <w:p w:rsidR="00000000" w:rsidRDefault="0032744C">
      <w:pPr>
        <w:pStyle w:val="naslov"/>
      </w:pPr>
      <w:r>
        <w:t xml:space="preserve">XVIII. RAZMAK JAVLjAČA OD STROPA I KROVA </w:t>
      </w:r>
    </w:p>
    <w:p w:rsidR="00000000" w:rsidRDefault="0032744C">
      <w:pPr>
        <w:pStyle w:val="clan"/>
      </w:pPr>
      <w:r>
        <w:t xml:space="preserve">Član 47. </w:t>
      </w:r>
    </w:p>
    <w:p w:rsidR="00000000" w:rsidRDefault="0032744C">
      <w:pPr>
        <w:pStyle w:val="tekst"/>
      </w:pPr>
      <w:r>
        <w:t>Termički javljač</w:t>
      </w:r>
      <w:r>
        <w:t xml:space="preserve">i postavljaju se na strop. Pri postavljanju dimnih javljača upotrebljavaju se vrednosti iz tabele 2. </w:t>
      </w:r>
    </w:p>
    <w:p w:rsidR="00000000" w:rsidRDefault="0032744C">
      <w:pPr>
        <w:pStyle w:val="tekst"/>
      </w:pPr>
      <w:r>
        <w:t>Dimni javljači mogu biti postavljeni neposredno na strop ili sleme krova, ako je visina ravnog stropa manja od 8 m, odnosno ako je visina slemena manja od</w:t>
      </w:r>
      <w:r>
        <w:t xml:space="preserve"> 4 m . </w:t>
      </w:r>
    </w:p>
    <w:p w:rsidR="00000000" w:rsidRDefault="0032744C">
      <w:pPr>
        <w:pStyle w:val="naslov"/>
      </w:pPr>
      <w:r>
        <w:t xml:space="preserve">XIX. RASPORED JAVLjAČA KOD POSEBNIH OBLIKA STROPA I KROVA </w:t>
      </w:r>
    </w:p>
    <w:p w:rsidR="00000000" w:rsidRDefault="0032744C">
      <w:pPr>
        <w:pStyle w:val="clan"/>
      </w:pPr>
      <w:r>
        <w:t xml:space="preserve">Član 48. </w:t>
      </w:r>
    </w:p>
    <w:p w:rsidR="00000000" w:rsidRDefault="0032744C">
      <w:pPr>
        <w:pStyle w:val="tekst"/>
      </w:pPr>
      <w:r>
        <w:t>Kod prostora s kosim stropom, kao i trouglastim ili slemenastim krovom, čiji je nagib veći od 15, treba postaviti red detektora u vertikalnoj ravni vrha prostora, odnosno najvišeg</w:t>
      </w:r>
      <w:r>
        <w:t xml:space="preserve"> dela prostora. </w:t>
      </w:r>
    </w:p>
    <w:p w:rsidR="00000000" w:rsidRDefault="0032744C">
      <w:pPr>
        <w:pStyle w:val="naslov"/>
      </w:pPr>
      <w:r>
        <w:t xml:space="preserve">XX. UTICAJ VENTILACIJE I KLIMATIZACIJE </w:t>
      </w:r>
    </w:p>
    <w:p w:rsidR="00000000" w:rsidRDefault="0032744C">
      <w:pPr>
        <w:pStyle w:val="clan"/>
      </w:pPr>
      <w:r>
        <w:t xml:space="preserve">Član 49. </w:t>
      </w:r>
    </w:p>
    <w:p w:rsidR="00000000" w:rsidRDefault="0032744C">
      <w:pPr>
        <w:pStyle w:val="tekst"/>
      </w:pPr>
      <w:r>
        <w:t xml:space="preserve">Javljači za nadzor prostora ne smeju se postavljati u struju svežeg vazduha klima-uređaja i ventilacionih uređaja. </w:t>
      </w:r>
    </w:p>
    <w:p w:rsidR="00000000" w:rsidRDefault="0032744C">
      <w:pPr>
        <w:pStyle w:val="tekst"/>
      </w:pPr>
      <w:r>
        <w:t>Perforirane stropove, koji služe za ventilaciju, treba zatvoriti na rasto</w:t>
      </w:r>
      <w:r>
        <w:t xml:space="preserve">janju od 0,5 m do javljača. </w:t>
      </w:r>
    </w:p>
    <w:p w:rsidR="00000000" w:rsidRDefault="0032744C">
      <w:pPr>
        <w:pStyle w:val="tekst"/>
      </w:pPr>
      <w:r>
        <w:t>U ventilisanoj i klimatizovanoj prostoriji sprečeno je nastajanje velike koncentracije dima, a time je smanjena i osetljivost stabilne instalacije za dojavu požara. U tom slučaju treba smanjiti nadziranu površinu javljača i pov</w:t>
      </w:r>
      <w:r>
        <w:t xml:space="preserve">ećati njegovu osetljivost. </w:t>
      </w:r>
    </w:p>
    <w:p w:rsidR="00000000" w:rsidRDefault="0032744C">
      <w:pPr>
        <w:pStyle w:val="naslov"/>
      </w:pPr>
      <w:r>
        <w:t xml:space="preserve">XXI. RASPORED I SMEŠTAJ RUČNIH JAVLjAČA </w:t>
      </w:r>
    </w:p>
    <w:p w:rsidR="00000000" w:rsidRDefault="0032744C">
      <w:pPr>
        <w:pStyle w:val="clan"/>
      </w:pPr>
      <w:r>
        <w:t xml:space="preserve">Član 50. </w:t>
      </w:r>
    </w:p>
    <w:p w:rsidR="00000000" w:rsidRDefault="0032744C">
      <w:pPr>
        <w:pStyle w:val="tekst"/>
      </w:pPr>
      <w:r>
        <w:t xml:space="preserve">Ručni javljač požara je obavezno sastavni deo stabilne instalacije za dojavu požara. </w:t>
      </w:r>
    </w:p>
    <w:p w:rsidR="00000000" w:rsidRDefault="0032744C">
      <w:pPr>
        <w:pStyle w:val="tekst"/>
      </w:pPr>
      <w:r>
        <w:t xml:space="preserve">Ručni javljači postavljaju se ne samo s unutrašnje nego i sa spoljne strane zgrade na zidovima i konstrukcijama s visinom ugradnje 1,5 m od nivoa poda ili zemlje. </w:t>
      </w:r>
    </w:p>
    <w:p w:rsidR="00000000" w:rsidRDefault="0032744C">
      <w:pPr>
        <w:pStyle w:val="tekst"/>
      </w:pPr>
      <w:r>
        <w:t>Unutar zgrade, ručni javljači postavljaju se na putevima za evakuaciju, u hodnicima, prolazi</w:t>
      </w:r>
      <w:r>
        <w:t xml:space="preserve">ma, na stepeništima, izlazima, u blizini prostora s većim požarnim rizikom, uz važne komunikacije i u blizini ručnih aparata za gašenje požara. </w:t>
      </w:r>
    </w:p>
    <w:p w:rsidR="00000000" w:rsidRDefault="0032744C">
      <w:pPr>
        <w:pStyle w:val="tekst"/>
      </w:pPr>
      <w:r>
        <w:t xml:space="preserve">Unutar zgrada, ručni javljači postavljaju se u razmaku od najviše 40 m , a izvan zgrada od najviše 120 m jedan </w:t>
      </w:r>
      <w:r>
        <w:t xml:space="preserve">od drugog. </w:t>
      </w:r>
    </w:p>
    <w:p w:rsidR="00000000" w:rsidRDefault="0032744C">
      <w:pPr>
        <w:pStyle w:val="clan"/>
      </w:pPr>
      <w:r>
        <w:t xml:space="preserve">Član 51. </w:t>
      </w:r>
    </w:p>
    <w:p w:rsidR="00000000" w:rsidRDefault="0032744C">
      <w:pPr>
        <w:pStyle w:val="tekst"/>
      </w:pPr>
      <w:r>
        <w:t xml:space="preserve">Uz svaki ručni javljač mora biti postavljena natpisna pločica na kojoj je tačno naznačena namena i način uključivanja. </w:t>
      </w:r>
    </w:p>
    <w:p w:rsidR="00000000" w:rsidRDefault="0032744C">
      <w:pPr>
        <w:pStyle w:val="tekst"/>
      </w:pPr>
      <w:r>
        <w:t xml:space="preserve">Nije dozvoljeno postavljanje ručnih javljača u iste dojavne zone s automatskim javljačima. </w:t>
      </w:r>
    </w:p>
    <w:p w:rsidR="00000000" w:rsidRDefault="0032744C">
      <w:pPr>
        <w:pStyle w:val="naslov"/>
      </w:pPr>
      <w:r>
        <w:t>XXII. SPREČAVANjE LAŽN</w:t>
      </w:r>
      <w:r>
        <w:t xml:space="preserve">IH UZBUNjIVANjA </w:t>
      </w:r>
    </w:p>
    <w:p w:rsidR="00000000" w:rsidRDefault="0032744C">
      <w:pPr>
        <w:pStyle w:val="clan"/>
      </w:pPr>
      <w:r>
        <w:t xml:space="preserve">Član 52. </w:t>
      </w:r>
    </w:p>
    <w:p w:rsidR="00000000" w:rsidRDefault="0032744C">
      <w:pPr>
        <w:pStyle w:val="tekst"/>
      </w:pPr>
      <w:r>
        <w:t xml:space="preserve">Termički javljači ne smeju biti smešteni na mestima na kojima okolna temperatura usled prirodnih ili pogonskih toplotnih izvora, može dovesti do neželjenog uzbunjivanja stabilne instalacije za dojavu požara. </w:t>
      </w:r>
    </w:p>
    <w:p w:rsidR="00000000" w:rsidRDefault="0032744C">
      <w:pPr>
        <w:pStyle w:val="tekst"/>
      </w:pPr>
      <w:r>
        <w:lastRenderedPageBreak/>
        <w:t>Pri razmeštaju termi</w:t>
      </w:r>
      <w:r>
        <w:t xml:space="preserve">čkih javljača treba voditi računa na mogućnost direktnom uticaju sunca, termičkim zračenjima pogonskih uređaja, kao i o uticaju vrućeg vazduha ili vruće pare. </w:t>
      </w:r>
    </w:p>
    <w:p w:rsidR="00000000" w:rsidRDefault="0032744C">
      <w:pPr>
        <w:pStyle w:val="clan"/>
      </w:pPr>
      <w:r>
        <w:t xml:space="preserve">Član 53. </w:t>
      </w:r>
    </w:p>
    <w:p w:rsidR="00000000" w:rsidRDefault="0032744C">
      <w:pPr>
        <w:pStyle w:val="tekst"/>
      </w:pPr>
      <w:r>
        <w:t xml:space="preserve">Dimni javljači ne smeju biti smešteni u blizini radnih mesta i pogonskih uređaja koji </w:t>
      </w:r>
      <w:r>
        <w:t xml:space="preserve">su izvor dima, pare, prašine ili sličnih aerosola. </w:t>
      </w:r>
    </w:p>
    <w:p w:rsidR="00000000" w:rsidRDefault="0032744C">
      <w:pPr>
        <w:pStyle w:val="tekst"/>
      </w:pPr>
      <w:r>
        <w:t xml:space="preserve">Da bi se sprečilo lažno uzbunjivanje, pri smeštaju dimnih javljača u niskim prostorima (visine do 3m) treba preduzeti mere, kao što su: </w:t>
      </w:r>
    </w:p>
    <w:p w:rsidR="00000000" w:rsidRDefault="0032744C">
      <w:pPr>
        <w:pStyle w:val="tekst"/>
      </w:pPr>
      <w:r>
        <w:t>- razmeštaj javljača izvan prostora stropa koji je iznad stalnog ra</w:t>
      </w:r>
      <w:r>
        <w:t xml:space="preserve">dnog mesta; </w:t>
      </w:r>
    </w:p>
    <w:p w:rsidR="00000000" w:rsidRDefault="0032744C">
      <w:pPr>
        <w:pStyle w:val="tekst"/>
      </w:pPr>
      <w:r>
        <w:t xml:space="preserve">- upotreba dvozonske zavisnosti; </w:t>
      </w:r>
    </w:p>
    <w:p w:rsidR="00000000" w:rsidRDefault="0032744C">
      <w:pPr>
        <w:pStyle w:val="tekst"/>
      </w:pPr>
      <w:r>
        <w:t xml:space="preserve">- zamena dimnih javljača s termičkim; </w:t>
      </w:r>
    </w:p>
    <w:p w:rsidR="00000000" w:rsidRDefault="0032744C">
      <w:pPr>
        <w:pStyle w:val="tekst"/>
      </w:pPr>
      <w:r>
        <w:t xml:space="preserve">- upotreba javljača s vremenskim zatezanjem; </w:t>
      </w:r>
    </w:p>
    <w:p w:rsidR="00000000" w:rsidRDefault="0032744C">
      <w:pPr>
        <w:pStyle w:val="tekst"/>
      </w:pPr>
      <w:r>
        <w:t xml:space="preserve">- zabrana pušenja; </w:t>
      </w:r>
    </w:p>
    <w:p w:rsidR="00000000" w:rsidRDefault="0032744C">
      <w:pPr>
        <w:pStyle w:val="tekst"/>
      </w:pPr>
      <w:r>
        <w:t xml:space="preserve">- smanjenje osetljivosti stabilne instalacije za dojavu požara. </w:t>
      </w:r>
    </w:p>
    <w:p w:rsidR="00000000" w:rsidRDefault="0032744C">
      <w:pPr>
        <w:pStyle w:val="tekst"/>
      </w:pPr>
      <w:r>
        <w:t>U prostorima s jakim strujanjima vazduh</w:t>
      </w:r>
      <w:r>
        <w:t xml:space="preserve">a javljače treba zaštititi posebnim limenim zaklonima prilagođenim za te namene (vetrobran). </w:t>
      </w:r>
    </w:p>
    <w:p w:rsidR="00000000" w:rsidRDefault="0032744C">
      <w:pPr>
        <w:pStyle w:val="naslov"/>
      </w:pPr>
      <w:r>
        <w:t xml:space="preserve">XXIII NAPAJANjE ENERGIJOM </w:t>
      </w:r>
    </w:p>
    <w:p w:rsidR="00000000" w:rsidRDefault="0032744C">
      <w:pPr>
        <w:pStyle w:val="clan"/>
      </w:pPr>
      <w:r>
        <w:t xml:space="preserve">Član 54. </w:t>
      </w:r>
    </w:p>
    <w:p w:rsidR="00000000" w:rsidRDefault="0032744C">
      <w:pPr>
        <w:pStyle w:val="tekst"/>
      </w:pPr>
      <w:r>
        <w:t xml:space="preserve">Napajanje energijom mora biti iz dva izvora. Prvi izvor je električna mreža, a drugi - akumulatorska baterija. </w:t>
      </w:r>
    </w:p>
    <w:p w:rsidR="00000000" w:rsidRDefault="0032744C">
      <w:pPr>
        <w:pStyle w:val="tekst"/>
      </w:pPr>
      <w:r>
        <w:t xml:space="preserve">Pri nestanku </w:t>
      </w:r>
      <w:r>
        <w:t xml:space="preserve">energije iz električne mreže akumulatorska baterija automatski i bez prekida preuzima napajanje stabilne instalacije. </w:t>
      </w:r>
    </w:p>
    <w:p w:rsidR="00000000" w:rsidRDefault="0032744C">
      <w:pPr>
        <w:pStyle w:val="clan"/>
      </w:pPr>
      <w:r>
        <w:t xml:space="preserve">Član 55. </w:t>
      </w:r>
    </w:p>
    <w:p w:rsidR="00000000" w:rsidRDefault="0032744C">
      <w:pPr>
        <w:pStyle w:val="tekst"/>
      </w:pPr>
      <w:r>
        <w:t xml:space="preserve">Izvori energije moraju biti spojeni čvrstim fiksnim priključcima na sistem stabilne instalacije. </w:t>
      </w:r>
    </w:p>
    <w:p w:rsidR="00000000" w:rsidRDefault="0032744C">
      <w:pPr>
        <w:pStyle w:val="tekst"/>
      </w:pPr>
      <w:r>
        <w:t xml:space="preserve">Ispad jednog od izvora, u slučaju smetnje, ne sme izazvati ispad drugog izvora energije, a svetlosno i zvučno mora biti registrovan na dojavnoj centrali. </w:t>
      </w:r>
    </w:p>
    <w:p w:rsidR="00000000" w:rsidRDefault="0032744C">
      <w:pPr>
        <w:pStyle w:val="tekst"/>
      </w:pPr>
      <w:r>
        <w:t>Prilikom prelaska s jednog izvora na drugi izvor ne sme doći do štetnog uticaja na rad stabilne insta</w:t>
      </w:r>
      <w:r>
        <w:t xml:space="preserve">lacije. </w:t>
      </w:r>
    </w:p>
    <w:p w:rsidR="00000000" w:rsidRDefault="0032744C">
      <w:pPr>
        <w:pStyle w:val="clan"/>
      </w:pPr>
      <w:r>
        <w:t xml:space="preserve">Član 56. </w:t>
      </w:r>
    </w:p>
    <w:p w:rsidR="00000000" w:rsidRDefault="0032744C">
      <w:pPr>
        <w:pStyle w:val="tekst"/>
      </w:pPr>
      <w:r>
        <w:t xml:space="preserve">Energija koja se koristi za napajanje stabilne instalacije ne sme biti upotrebljena za napajanje drugih uređaja. </w:t>
      </w:r>
    </w:p>
    <w:p w:rsidR="00000000" w:rsidRDefault="0032744C">
      <w:pPr>
        <w:pStyle w:val="tekst"/>
      </w:pPr>
      <w:r>
        <w:t xml:space="preserve">Uređaji priključeni na sekundarne vodove mogu biti napajani i drugim oblicima napajanja energijom. </w:t>
      </w:r>
    </w:p>
    <w:p w:rsidR="00000000" w:rsidRDefault="0032744C">
      <w:pPr>
        <w:pStyle w:val="naslov"/>
      </w:pPr>
      <w:r>
        <w:t xml:space="preserve">XXIV. ELEKTRIČNA MREŽA </w:t>
      </w:r>
    </w:p>
    <w:p w:rsidR="00000000" w:rsidRDefault="0032744C">
      <w:pPr>
        <w:pStyle w:val="clan"/>
      </w:pPr>
      <w:r>
        <w:t xml:space="preserve">Član 57. </w:t>
      </w:r>
    </w:p>
    <w:p w:rsidR="00000000" w:rsidRDefault="0032744C">
      <w:pPr>
        <w:pStyle w:val="tekst"/>
      </w:pPr>
      <w:r>
        <w:t xml:space="preserve">Napajanje energijom iz električne mreže mora biti takvo da omogućuje trajan pogon stabilne instalacije za dojavu i punjenje akumulatorske baterije. </w:t>
      </w:r>
    </w:p>
    <w:p w:rsidR="00000000" w:rsidRDefault="0032744C">
      <w:pPr>
        <w:pStyle w:val="tekst"/>
      </w:pPr>
      <w:r>
        <w:t>Za dovod energije mora biti upotrebljeno odvojeno strujno kolo s posebno označenim osiguračem (c</w:t>
      </w:r>
      <w:r>
        <w:t xml:space="preserve">rvena boja). </w:t>
      </w:r>
    </w:p>
    <w:p w:rsidR="00000000" w:rsidRDefault="0032744C">
      <w:pPr>
        <w:pStyle w:val="tekst"/>
      </w:pPr>
      <w:r>
        <w:t xml:space="preserve">Mora se onemogućiti da se isključivanjem pogonskih uređaja isključi i strujno kolo prema dojavnoj centrali. </w:t>
      </w:r>
    </w:p>
    <w:p w:rsidR="00000000" w:rsidRDefault="0032744C">
      <w:pPr>
        <w:pStyle w:val="clan"/>
      </w:pPr>
      <w:r>
        <w:t xml:space="preserve">Član 58. </w:t>
      </w:r>
    </w:p>
    <w:p w:rsidR="00000000" w:rsidRDefault="0032744C">
      <w:pPr>
        <w:pStyle w:val="tekst"/>
      </w:pPr>
      <w:r>
        <w:t xml:space="preserve">Uređaj za punjenje akumulatora mora biti tako dimenzioniran da se akumulator ispražnjen do krajnje dozvoljenog napona može </w:t>
      </w:r>
      <w:r>
        <w:t xml:space="preserve">automatski napuniti u roku od 24 h na 80% nazivnog kapaciteta. </w:t>
      </w:r>
    </w:p>
    <w:p w:rsidR="00000000" w:rsidRDefault="0032744C">
      <w:pPr>
        <w:pStyle w:val="tekst"/>
      </w:pPr>
      <w:r>
        <w:t xml:space="preserve">Punjenje akumulatora mora biti okončano najkasnije po isteku 48 h . </w:t>
      </w:r>
    </w:p>
    <w:p w:rsidR="00000000" w:rsidRDefault="0032744C">
      <w:pPr>
        <w:pStyle w:val="naslov"/>
      </w:pPr>
      <w:r>
        <w:t xml:space="preserve">XXV. AKUMULATORSKE BATERIJE </w:t>
      </w:r>
    </w:p>
    <w:p w:rsidR="00000000" w:rsidRDefault="0032744C">
      <w:pPr>
        <w:pStyle w:val="clan"/>
      </w:pPr>
      <w:r>
        <w:t xml:space="preserve">Član 59. </w:t>
      </w:r>
    </w:p>
    <w:p w:rsidR="00000000" w:rsidRDefault="0032744C">
      <w:pPr>
        <w:pStyle w:val="tekst"/>
      </w:pPr>
      <w:r>
        <w:t>Za stabilne instalacije s automatskom dojavom smetnje, na mestima na kojima nije obe</w:t>
      </w:r>
      <w:r>
        <w:t>zbeđeno stalno dežurstvo, kapacitet baterije treba izračunavati tako da pri neispravnom napajanju mrežnim naponom bude osiguran trajan rad od 72 h stabilne instalacije, s tim da se nakon toga, može uključiti uređaj za uzbunjivanje za požarni sektor s najve</w:t>
      </w:r>
      <w:r>
        <w:t xml:space="preserve">ćom energetskom potrošnjom i napajanjem od 30 min . </w:t>
      </w:r>
    </w:p>
    <w:p w:rsidR="00000000" w:rsidRDefault="0032744C">
      <w:pPr>
        <w:pStyle w:val="tekst"/>
      </w:pPr>
      <w:r>
        <w:t>Za stabilne instalacije s automatskom dojavom smetnje na mestima na kojima su obezbeđeni neprekidno dežurstvo i služba za otklanjanje kvarova, kapacitet baterije treba odabrati tako da se pri neispravnom</w:t>
      </w:r>
      <w:r>
        <w:t xml:space="preserve"> mrežnom napajanju omogući nesmetan rad instalacije od najmanje 30 h i pola sata rada uređaja za uzbunjivanje. </w:t>
      </w:r>
    </w:p>
    <w:p w:rsidR="00000000" w:rsidRDefault="0032744C">
      <w:pPr>
        <w:pStyle w:val="tekst"/>
      </w:pPr>
      <w:r>
        <w:lastRenderedPageBreak/>
        <w:t>Za stabilne instalacije s automatskom dojavom smetnje, na mestima na kojima su obezbeđeni, neprekidno dežurstvo i služba za otklanjanje kvarova,</w:t>
      </w:r>
      <w:r>
        <w:t xml:space="preserve"> kapacitet baterije treba odabrati tako da je pri neispravnom napajanju mrežnim naponom moguć trajno nesmetan rad instalacije od najmanje 4 h i pola sata rada elemenata za uzbunjivanje za požarni sektor s najvećom energetskom potrošnjom. U takvom slučaju m</w:t>
      </w:r>
      <w:r>
        <w:t xml:space="preserve">ora biti na raspolaganju rezervno mrežno ili agregatsko napajanje koje se automatski uključuje ispadom prvog mrežnog napajanja. </w:t>
      </w:r>
    </w:p>
    <w:p w:rsidR="00000000" w:rsidRDefault="0032744C">
      <w:pPr>
        <w:pStyle w:val="clan"/>
      </w:pPr>
      <w:r>
        <w:t xml:space="preserve">Član 60. </w:t>
      </w:r>
    </w:p>
    <w:p w:rsidR="00000000" w:rsidRDefault="0032744C">
      <w:pPr>
        <w:pStyle w:val="tekst"/>
      </w:pPr>
      <w:r>
        <w:t>Za stabilne instalacije za dojavu mora se upotrebljavati akumulator sa rokom trajanja koji nije kraći od četiri godin</w:t>
      </w:r>
      <w:r>
        <w:t xml:space="preserve">e. </w:t>
      </w:r>
    </w:p>
    <w:p w:rsidR="00000000" w:rsidRDefault="0032744C">
      <w:pPr>
        <w:pStyle w:val="tekst"/>
      </w:pPr>
      <w:r>
        <w:t xml:space="preserve">Akumulatori s mokrim ćelijama moraju se postavljati u prostorije - dovoljno vetrene, suve i sigurne od zaleđivanja. </w:t>
      </w:r>
    </w:p>
    <w:p w:rsidR="00000000" w:rsidRDefault="0032744C">
      <w:pPr>
        <w:pStyle w:val="tekst"/>
      </w:pPr>
      <w:r>
        <w:t xml:space="preserve">Akumulatori se postavljaju tako da budu zaštićeni od spoljnih uticaja i oštećenja i da je moguć pristup zbog održavanja i ispitivanja. </w:t>
      </w:r>
    </w:p>
    <w:p w:rsidR="00000000" w:rsidRDefault="0032744C">
      <w:pPr>
        <w:pStyle w:val="naslov"/>
      </w:pPr>
      <w:r>
        <w:t xml:space="preserve">XXVI. POVEZIVANjE STABILNE INSTALACIJE ZA DOJAVU S TEHNOLOŠKOM I ELEKTROTEHNIČKOM OPREMOM I ISPITIVANjE </w:t>
      </w:r>
    </w:p>
    <w:p w:rsidR="00000000" w:rsidRDefault="0032744C">
      <w:pPr>
        <w:pStyle w:val="clan"/>
      </w:pPr>
      <w:r>
        <w:t xml:space="preserve">Član 61. </w:t>
      </w:r>
    </w:p>
    <w:p w:rsidR="00000000" w:rsidRDefault="0032744C">
      <w:pPr>
        <w:pStyle w:val="tekst"/>
      </w:pPr>
      <w:r>
        <w:t>Na izlazima dojavne centrale treba predvideti kontaktne ili beskontaktne elemente za upravljanje tehnološkom i elektrotehničkom opremom obje</w:t>
      </w:r>
      <w:r>
        <w:t xml:space="preserve">kta. </w:t>
      </w:r>
    </w:p>
    <w:p w:rsidR="00000000" w:rsidRDefault="0032744C">
      <w:pPr>
        <w:pStyle w:val="tekst"/>
      </w:pPr>
      <w:r>
        <w:t xml:space="preserve">Dojavna centrala formira impuls za upravljanje automatskim uređajima za gašenje požara i impuls za energetsko isključenje nadziranog objekta pri uključivanju najmanje dva dimna javljača požara postavljena u nadziranoj prostoriji. </w:t>
      </w:r>
    </w:p>
    <w:p w:rsidR="00000000" w:rsidRDefault="0032744C">
      <w:pPr>
        <w:pStyle w:val="tekst"/>
      </w:pPr>
      <w:r>
        <w:t>Upravljanje uređaji</w:t>
      </w:r>
      <w:r>
        <w:t xml:space="preserve">ma za ventilaciju i klimatizaciju dozvoljava se već pri uključivanju jednog dimnog javljača požara. </w:t>
      </w:r>
    </w:p>
    <w:p w:rsidR="00000000" w:rsidRDefault="0032744C">
      <w:pPr>
        <w:pStyle w:val="naslov"/>
      </w:pPr>
      <w:r>
        <w:t xml:space="preserve">XXVII. KABLOVI I PROVODNICI </w:t>
      </w:r>
    </w:p>
    <w:p w:rsidR="00000000" w:rsidRDefault="0032744C">
      <w:pPr>
        <w:pStyle w:val="clan"/>
      </w:pPr>
      <w:r>
        <w:t xml:space="preserve">Član 62. </w:t>
      </w:r>
    </w:p>
    <w:p w:rsidR="00000000" w:rsidRDefault="0032744C">
      <w:pPr>
        <w:pStyle w:val="tekst"/>
      </w:pPr>
      <w:r>
        <w:t>Stabilna instalacija za dojavu i pripadajući prenosni vodovi moraju biti izvedeni vlastitom mrežom kablova i vodova.</w:t>
      </w:r>
      <w:r>
        <w:t xml:space="preserve"> </w:t>
      </w:r>
    </w:p>
    <w:p w:rsidR="00000000" w:rsidRDefault="0032744C">
      <w:pPr>
        <w:pStyle w:val="tekst"/>
      </w:pPr>
      <w:r>
        <w:t xml:space="preserve">Kablovi moraju biti izvedeni s mehaničkom zaštitom koja odgovara zahtevima nadziranog prostora, a u skladu s opšte važećim elektrotehničkim propisima za izvođenje u zgradama i industriji. </w:t>
      </w:r>
    </w:p>
    <w:p w:rsidR="00000000" w:rsidRDefault="0032744C">
      <w:pPr>
        <w:pStyle w:val="tekst"/>
      </w:pPr>
      <w:r>
        <w:t>Presek kablova mora biti odabran tako da odgovara potrošnji struj</w:t>
      </w:r>
      <w:r>
        <w:t xml:space="preserve">e upotrebljenih uređaja i zahtevima u pogledu maksimalno dozvoljenog električnog otpora linije. </w:t>
      </w:r>
    </w:p>
    <w:p w:rsidR="00000000" w:rsidRDefault="0032744C">
      <w:pPr>
        <w:pStyle w:val="tekst"/>
      </w:pPr>
      <w:r>
        <w:t xml:space="preserve">Presek voda u kablu ne sme biti manji od 0,6 mm . </w:t>
      </w:r>
    </w:p>
    <w:p w:rsidR="00000000" w:rsidRDefault="0032744C">
      <w:pPr>
        <w:pStyle w:val="tekst"/>
      </w:pPr>
      <w:r>
        <w:t>Pri upotrebi višežilnih kablova treba ostavljati 10% rezerve od broja vodova i stezaljki (spojnica) u razvod</w:t>
      </w:r>
      <w:r>
        <w:t xml:space="preserve">nim ormarima. </w:t>
      </w:r>
    </w:p>
    <w:p w:rsidR="00000000" w:rsidRDefault="0032744C">
      <w:pPr>
        <w:pStyle w:val="clan"/>
      </w:pPr>
      <w:r>
        <w:t xml:space="preserve">Član 63. </w:t>
      </w:r>
    </w:p>
    <w:p w:rsidR="00000000" w:rsidRDefault="0032744C">
      <w:pPr>
        <w:pStyle w:val="tekst"/>
      </w:pPr>
      <w:r>
        <w:t xml:space="preserve">Nije dozvoljeno da se zajednički u jednoj cevi, ormaru, kablu, posebnom kanalu ili vertikali (silazištu), polažu strujna kola s naponom do 50 V sa strujnim kolima napona višeg od 50 V . </w:t>
      </w:r>
    </w:p>
    <w:p w:rsidR="00000000" w:rsidRDefault="0032744C">
      <w:pPr>
        <w:pStyle w:val="tekst"/>
      </w:pPr>
      <w:r>
        <w:t>Razvodne kutije i ormari stabilne instalacij</w:t>
      </w:r>
      <w:r>
        <w:t xml:space="preserve">e moraju biti označeni crvenom bojom. </w:t>
      </w:r>
    </w:p>
    <w:p w:rsidR="00000000" w:rsidRDefault="0032744C">
      <w:pPr>
        <w:pStyle w:val="tekst"/>
      </w:pPr>
      <w:r>
        <w:t xml:space="preserve">Broj povezivanja (spajanja) treba da bude što manji, a svako spajanje izvedeno lemljenjem ili drugom jako sigurnom mehaničkom metodom. </w:t>
      </w:r>
    </w:p>
    <w:p w:rsidR="00000000" w:rsidRDefault="0032744C">
      <w:pPr>
        <w:pStyle w:val="clan"/>
      </w:pPr>
      <w:r>
        <w:t xml:space="preserve">Član 64. </w:t>
      </w:r>
    </w:p>
    <w:p w:rsidR="00000000" w:rsidRDefault="0032744C">
      <w:pPr>
        <w:pStyle w:val="tekst"/>
      </w:pPr>
      <w:r>
        <w:t>Protiv električnih uticaja koji ometaju rad (električna interferencija,</w:t>
      </w:r>
      <w:r>
        <w:t xml:space="preserve"> munja, uključivanje i isključivanje snažnih potrošača, električne iskre i elektromagnetski talasi) treba preduzeti odgovarajuće zaštitne mere, kao što su polaganje kablova i vodova u metalne uzemljene cevi i/ili upotreba specijalnih filtera i drugih zašti</w:t>
      </w:r>
      <w:r>
        <w:t xml:space="preserve">tnih mera. </w:t>
      </w:r>
    </w:p>
    <w:p w:rsidR="00000000" w:rsidRDefault="0032744C">
      <w:pPr>
        <w:pStyle w:val="clan"/>
      </w:pPr>
      <w:r>
        <w:t xml:space="preserve">Član 65. </w:t>
      </w:r>
    </w:p>
    <w:p w:rsidR="00000000" w:rsidRDefault="0032744C">
      <w:pPr>
        <w:pStyle w:val="tekst"/>
      </w:pPr>
      <w:r>
        <w:t xml:space="preserve">Otpor izolacije između voda i voda i zemlje mora iznositi najmanje 500 kilooma (k D). </w:t>
      </w:r>
    </w:p>
    <w:p w:rsidR="00000000" w:rsidRDefault="0032744C">
      <w:pPr>
        <w:pStyle w:val="tekst"/>
      </w:pPr>
      <w:r>
        <w:t>Za merenje otpora izolacije ne sme se upotrebljavati instrument s naponom višim od 50 V , osim ako su svi delovi stabilne instalacije odvojeni od v</w:t>
      </w:r>
      <w:r>
        <w:t xml:space="preserve">oda i kabla. </w:t>
      </w:r>
    </w:p>
    <w:p w:rsidR="00000000" w:rsidRDefault="0032744C">
      <w:pPr>
        <w:pStyle w:val="clan"/>
      </w:pPr>
      <w:r>
        <w:t xml:space="preserve">Član 66. </w:t>
      </w:r>
    </w:p>
    <w:p w:rsidR="00000000" w:rsidRDefault="0032744C">
      <w:pPr>
        <w:pStyle w:val="tekst"/>
      </w:pPr>
      <w:r>
        <w:t xml:space="preserve">Električne instalacije i oprema stabilne instalacije moraju odgovarati prostoru u koji se ugrađuju (npr. vodonepropusna, za tropske uslove, za ugradnju u eksplozijski ugrožene prostore). </w:t>
      </w:r>
    </w:p>
    <w:p w:rsidR="00000000" w:rsidRDefault="0032744C">
      <w:pPr>
        <w:pStyle w:val="tekst"/>
      </w:pPr>
      <w:r>
        <w:t>Stabilna instalacija za dojavu požara mora b</w:t>
      </w:r>
      <w:r>
        <w:t xml:space="preserve">iti tako projektovana i izvedena da ne izaziva radio i/ili televizijske smetnje. </w:t>
      </w:r>
    </w:p>
    <w:p w:rsidR="00000000" w:rsidRDefault="0032744C">
      <w:pPr>
        <w:pStyle w:val="clan"/>
      </w:pPr>
      <w:r>
        <w:lastRenderedPageBreak/>
        <w:t xml:space="preserve">Član 67. </w:t>
      </w:r>
    </w:p>
    <w:p w:rsidR="00000000" w:rsidRDefault="0032744C">
      <w:pPr>
        <w:pStyle w:val="tekst"/>
      </w:pPr>
      <w:r>
        <w:t xml:space="preserve">Za funkcionalno ispitivanje stabilne instalacije mora se pribaviti sledeća dokumentacija: </w:t>
      </w:r>
    </w:p>
    <w:p w:rsidR="00000000" w:rsidRDefault="0032744C">
      <w:pPr>
        <w:pStyle w:val="tekst"/>
      </w:pPr>
      <w:r>
        <w:t xml:space="preserve">1) projekt izvedenog stanja stabilne instalacije za dojavu; </w:t>
      </w:r>
    </w:p>
    <w:p w:rsidR="00000000" w:rsidRDefault="0032744C">
      <w:pPr>
        <w:pStyle w:val="tekst"/>
      </w:pPr>
      <w:r>
        <w:t>2) plan uzbu</w:t>
      </w:r>
      <w:r>
        <w:t xml:space="preserve">njivanja; </w:t>
      </w:r>
    </w:p>
    <w:p w:rsidR="00000000" w:rsidRDefault="0032744C">
      <w:pPr>
        <w:pStyle w:val="tekst"/>
      </w:pPr>
      <w:r>
        <w:t xml:space="preserve">3) uputstvo za rukovanje i održavanje dojavne centrale; </w:t>
      </w:r>
    </w:p>
    <w:p w:rsidR="00000000" w:rsidRDefault="0032744C">
      <w:pPr>
        <w:pStyle w:val="tekst"/>
      </w:pPr>
      <w:r>
        <w:t xml:space="preserve">4) program rada centrale i upravljanja ventilacijom, klimom, klapnama, vratima i isključenjima; </w:t>
      </w:r>
    </w:p>
    <w:p w:rsidR="00000000" w:rsidRDefault="0032744C">
      <w:pPr>
        <w:pStyle w:val="tekst"/>
      </w:pPr>
      <w:r>
        <w:t>5) kontrolna knjiga (pregleda i ispitivanja, čiji je obrazac odštampan u prilogu ovog pravi</w:t>
      </w:r>
      <w:r>
        <w:t xml:space="preserve">lnika i čini njihov sastavni deo); </w:t>
      </w:r>
    </w:p>
    <w:p w:rsidR="00000000" w:rsidRDefault="0032744C">
      <w:pPr>
        <w:pStyle w:val="tekst"/>
      </w:pPr>
      <w:r>
        <w:t xml:space="preserve">6) svi izveštaji o ispitivanju ugrađene opreme; </w:t>
      </w:r>
    </w:p>
    <w:p w:rsidR="00000000" w:rsidRDefault="0032744C">
      <w:pPr>
        <w:pStyle w:val="tekst"/>
      </w:pPr>
      <w:r>
        <w:t xml:space="preserve">7) ispitne liste i protokoli za električne instalacije. </w:t>
      </w:r>
    </w:p>
    <w:p w:rsidR="00000000" w:rsidRDefault="0032744C">
      <w:pPr>
        <w:pStyle w:val="clan"/>
      </w:pPr>
      <w:r>
        <w:t xml:space="preserve">Član 68. </w:t>
      </w:r>
    </w:p>
    <w:p w:rsidR="00000000" w:rsidRDefault="0032744C">
      <w:pPr>
        <w:pStyle w:val="tekst"/>
      </w:pPr>
      <w:r>
        <w:t>Prilikom funkcionalnog ispitivanja stabilne instalacije mora se ispitati rad svakog ugrađenog elementa -</w:t>
      </w:r>
      <w:r>
        <w:t xml:space="preserve"> svakog javljača, svakog elementa za uzbunjivanje i svih elemenata za prenos signala, kao i rad dojavne centrale i sva upravljanja koja ona obavlja. </w:t>
      </w:r>
    </w:p>
    <w:p w:rsidR="00000000" w:rsidRDefault="0032744C">
      <w:pPr>
        <w:pStyle w:val="tekst"/>
      </w:pPr>
      <w:r>
        <w:t>Po otklanjanju svih uočenih smetnji i neispravnosti i ponovnom ispitivanju izdaje se izveštaj o funkcional</w:t>
      </w:r>
      <w:r>
        <w:t xml:space="preserve">nosti stabilne instalacije za dojavu požara. </w:t>
      </w:r>
    </w:p>
    <w:p w:rsidR="00000000" w:rsidRDefault="0032744C">
      <w:pPr>
        <w:pStyle w:val="naslov"/>
      </w:pPr>
      <w:r>
        <w:t xml:space="preserve">XXVII. ODRŽAVANjE STABILNE INSTALACIJE ZA DOJAVU </w:t>
      </w:r>
    </w:p>
    <w:p w:rsidR="00000000" w:rsidRDefault="0032744C">
      <w:pPr>
        <w:pStyle w:val="clan"/>
      </w:pPr>
      <w:r>
        <w:t xml:space="preserve">Član 69. </w:t>
      </w:r>
    </w:p>
    <w:p w:rsidR="00000000" w:rsidRDefault="0032744C">
      <w:pPr>
        <w:pStyle w:val="tekst"/>
      </w:pPr>
      <w:r>
        <w:t xml:space="preserve">Korisnik instalacije mora osigurati da oko svakog automatskog javljača bude slobodan prostor u prečniku od najmanje 750 mm </w:t>
      </w:r>
      <w:r>
        <w:t xml:space="preserve">, i da ručni javljači budu neprekidno vidljivi i dostupni. </w:t>
      </w:r>
    </w:p>
    <w:p w:rsidR="00000000" w:rsidRDefault="0032744C">
      <w:pPr>
        <w:pStyle w:val="clan"/>
      </w:pPr>
      <w:r>
        <w:t xml:space="preserve">Član 70. </w:t>
      </w:r>
    </w:p>
    <w:p w:rsidR="00000000" w:rsidRDefault="0032744C">
      <w:pPr>
        <w:pStyle w:val="tekst"/>
      </w:pPr>
      <w:r>
        <w:t xml:space="preserve">Korisnik stabilne instalacije dužan je da osigura pregled instalacije: </w:t>
      </w:r>
    </w:p>
    <w:p w:rsidR="00000000" w:rsidRDefault="0032744C">
      <w:pPr>
        <w:pStyle w:val="tekst"/>
      </w:pPr>
      <w:r>
        <w:t xml:space="preserve">1) nakon pojave požara; </w:t>
      </w:r>
    </w:p>
    <w:p w:rsidR="00000000" w:rsidRDefault="0032744C">
      <w:pPr>
        <w:pStyle w:val="tekst"/>
      </w:pPr>
      <w:r>
        <w:t xml:space="preserve">2) nakon pojave znakova poremećaja pogonske spremnosti; </w:t>
      </w:r>
    </w:p>
    <w:p w:rsidR="00000000" w:rsidRDefault="0032744C">
      <w:pPr>
        <w:pStyle w:val="tekst"/>
      </w:pPr>
      <w:r>
        <w:t>3) pri nepravilnom funkcionisanj</w:t>
      </w:r>
      <w:r>
        <w:t xml:space="preserve">u; </w:t>
      </w:r>
    </w:p>
    <w:p w:rsidR="00000000" w:rsidRDefault="0032744C">
      <w:pPr>
        <w:pStyle w:val="tekst"/>
      </w:pPr>
      <w:r>
        <w:t xml:space="preserve">4) pri promeni tehnologije; </w:t>
      </w:r>
    </w:p>
    <w:p w:rsidR="00000000" w:rsidRDefault="0032744C">
      <w:pPr>
        <w:pStyle w:val="tekst"/>
      </w:pPr>
      <w:r>
        <w:t xml:space="preserve">5) pri promeni namene prostora koji utiču na primenu tehničkih mera nadzora. </w:t>
      </w:r>
    </w:p>
    <w:p w:rsidR="00000000" w:rsidRDefault="0032744C">
      <w:pPr>
        <w:pStyle w:val="clan"/>
      </w:pPr>
      <w:r>
        <w:t xml:space="preserve">Član 71. </w:t>
      </w:r>
    </w:p>
    <w:p w:rsidR="00000000" w:rsidRDefault="0032744C">
      <w:pPr>
        <w:pStyle w:val="tekst"/>
      </w:pPr>
      <w:r>
        <w:t>Mere redovnog održavanja stabilnih instalacija moraju se unositi u kontrolnu knjigu. Obrazac kontrolne knjige odštampan je uz ovaj prav</w:t>
      </w:r>
      <w:r>
        <w:t xml:space="preserve">ilnik i čini njegov sastavni deo. </w:t>
      </w:r>
    </w:p>
    <w:p w:rsidR="00000000" w:rsidRDefault="0032744C">
      <w:pPr>
        <w:pStyle w:val="tekst"/>
      </w:pPr>
      <w:r>
        <w:t xml:space="preserve">Rad stabilne instalacije proverava odgovorno lice korisnika instalacije u razmacima ne dužim od dva meseca. </w:t>
      </w:r>
    </w:p>
    <w:p w:rsidR="00000000" w:rsidRDefault="0032744C">
      <w:pPr>
        <w:pStyle w:val="tekst"/>
      </w:pPr>
      <w:r>
        <w:t xml:space="preserve">Prilikom redovne provere rada obavezno se ispituju: </w:t>
      </w:r>
    </w:p>
    <w:p w:rsidR="00000000" w:rsidRDefault="0032744C">
      <w:pPr>
        <w:pStyle w:val="tekst"/>
      </w:pPr>
      <w:r>
        <w:t xml:space="preserve">1) najmanje jedan javljač po primarnom vodu; </w:t>
      </w:r>
    </w:p>
    <w:p w:rsidR="00000000" w:rsidRDefault="0032744C">
      <w:pPr>
        <w:pStyle w:val="tekst"/>
      </w:pPr>
      <w:r>
        <w:t>2) svi elemen</w:t>
      </w:r>
      <w:r>
        <w:t xml:space="preserve">ti za uzbunjivanje; </w:t>
      </w:r>
    </w:p>
    <w:p w:rsidR="00000000" w:rsidRDefault="0032744C">
      <w:pPr>
        <w:pStyle w:val="tekst"/>
      </w:pPr>
      <w:r>
        <w:t xml:space="preserve">3) svi predajnici i prijemnici signalizacije; </w:t>
      </w:r>
    </w:p>
    <w:p w:rsidR="00000000" w:rsidRDefault="0032744C">
      <w:pPr>
        <w:pStyle w:val="tekst"/>
      </w:pPr>
      <w:r>
        <w:t xml:space="preserve">4) svi uređaji za automatsko gašenje; </w:t>
      </w:r>
    </w:p>
    <w:p w:rsidR="00000000" w:rsidRDefault="0032744C">
      <w:pPr>
        <w:pStyle w:val="tekst"/>
      </w:pPr>
      <w:r>
        <w:t xml:space="preserve">5) sklopni uređaji za isključivanje ventilacije, pogona i sl.; </w:t>
      </w:r>
    </w:p>
    <w:p w:rsidR="00000000" w:rsidRDefault="0032744C">
      <w:pPr>
        <w:pStyle w:val="tekst"/>
      </w:pPr>
      <w:r>
        <w:t>6) uređaji za napajanje energijom (vizuelni pregled priključaka i nivoa elektrolita).</w:t>
      </w:r>
      <w:r>
        <w:t xml:space="preserve"> </w:t>
      </w:r>
    </w:p>
    <w:p w:rsidR="00000000" w:rsidRDefault="0032744C">
      <w:pPr>
        <w:pStyle w:val="clan"/>
      </w:pPr>
      <w:r>
        <w:t xml:space="preserve">Član 72. </w:t>
      </w:r>
    </w:p>
    <w:p w:rsidR="00000000" w:rsidRDefault="0032744C">
      <w:pPr>
        <w:pStyle w:val="tekst"/>
      </w:pPr>
      <w:r>
        <w:t xml:space="preserve">Periodični pregledi stabilne instalacije za dojavu požara obavezno se obavljaju jedanput godišnje. </w:t>
      </w:r>
    </w:p>
    <w:p w:rsidR="00000000" w:rsidRDefault="0032744C">
      <w:pPr>
        <w:pStyle w:val="tekst"/>
      </w:pPr>
      <w:r>
        <w:t xml:space="preserve">Periodični pregled obuhvata funkcionalnu kontrolu stabilne instalacije i detaljan pregled svih sastavnih delova. </w:t>
      </w:r>
    </w:p>
    <w:p w:rsidR="00000000" w:rsidRDefault="0032744C">
      <w:pPr>
        <w:pStyle w:val="clan"/>
      </w:pPr>
      <w:r>
        <w:t xml:space="preserve">Član 73. </w:t>
      </w:r>
    </w:p>
    <w:p w:rsidR="00000000" w:rsidRDefault="0032744C">
      <w:pPr>
        <w:pStyle w:val="tekst"/>
      </w:pPr>
      <w:r>
        <w:t>Pri godišnjem period</w:t>
      </w:r>
      <w:r>
        <w:t xml:space="preserve">ičnom pregledu mora se izvršiti: </w:t>
      </w:r>
    </w:p>
    <w:p w:rsidR="00000000" w:rsidRDefault="0032744C">
      <w:pPr>
        <w:pStyle w:val="tekst"/>
      </w:pPr>
      <w:r>
        <w:t xml:space="preserve">1) provera kontrolne knjige o izvršenom prethodnom pregledu, i popisa radova koji su posle toga izvedeni na instalaciji; </w:t>
      </w:r>
    </w:p>
    <w:p w:rsidR="00000000" w:rsidRDefault="0032744C">
      <w:pPr>
        <w:pStyle w:val="tekst"/>
      </w:pPr>
      <w:r>
        <w:t>2) pregled i ispitivanje spojnice na akumulatoru, nivoa i gustoće elektrolita u svakoj ćeliji, kao i</w:t>
      </w:r>
      <w:r>
        <w:t xml:space="preserve"> merenje kapaciteta akumulatora; </w:t>
      </w:r>
    </w:p>
    <w:p w:rsidR="00000000" w:rsidRDefault="0032744C">
      <w:pPr>
        <w:pStyle w:val="tekst"/>
      </w:pPr>
      <w:r>
        <w:t xml:space="preserve">3) provera rada indikatora i upravljačkih elemenata na dojavnoj centrali, kao i sva isključenja i upravljanja tehnološkom opremom; </w:t>
      </w:r>
    </w:p>
    <w:p w:rsidR="00000000" w:rsidRDefault="0032744C">
      <w:pPr>
        <w:pStyle w:val="tekst"/>
      </w:pPr>
      <w:r>
        <w:t>4) ispitivanje rada elemenata za uzbunjivanje, predajnika i prijemnika daljinske signaliza</w:t>
      </w:r>
      <w:r>
        <w:t xml:space="preserve">cije o požaru i o neispravnosti; </w:t>
      </w:r>
    </w:p>
    <w:p w:rsidR="00000000" w:rsidRDefault="0032744C">
      <w:pPr>
        <w:pStyle w:val="tekst"/>
      </w:pPr>
      <w:r>
        <w:t xml:space="preserve">5) ispitivanje indikatora smetnji - simulirajući kvarove na primarnim vodovima i uređajima za napajanje energijom; </w:t>
      </w:r>
    </w:p>
    <w:p w:rsidR="00000000" w:rsidRDefault="0032744C">
      <w:pPr>
        <w:pStyle w:val="tekst"/>
      </w:pPr>
      <w:r>
        <w:t xml:space="preserve">6) provera rada svakog pojedinog javljača požara prema uputstvu proizvođača; </w:t>
      </w:r>
    </w:p>
    <w:p w:rsidR="00000000" w:rsidRDefault="0032744C">
      <w:pPr>
        <w:pStyle w:val="tekst"/>
      </w:pPr>
      <w:r>
        <w:lastRenderedPageBreak/>
        <w:t xml:space="preserve">7) pregled kablova, vodova, razvodnih ormara, stezaljki i razvodnih kutija (da su neoštećeni i adekvatno zaštićeni i označeni). </w:t>
      </w:r>
    </w:p>
    <w:p w:rsidR="00000000" w:rsidRDefault="0032744C">
      <w:pPr>
        <w:pStyle w:val="clan"/>
      </w:pPr>
      <w:r>
        <w:t xml:space="preserve">Član 74. </w:t>
      </w:r>
    </w:p>
    <w:p w:rsidR="00000000" w:rsidRDefault="0032744C">
      <w:pPr>
        <w:pStyle w:val="tekst"/>
      </w:pPr>
      <w:r>
        <w:t>Popravka stabilne instalacije za dojavu mora se obaviti ako se prilikom bilo koje kontrole utvrde odstupanja u radu i</w:t>
      </w:r>
      <w:r>
        <w:t xml:space="preserve"> neispravnosti. </w:t>
      </w:r>
    </w:p>
    <w:p w:rsidR="00000000" w:rsidRDefault="0032744C">
      <w:pPr>
        <w:pStyle w:val="clan"/>
      </w:pPr>
      <w:r>
        <w:t xml:space="preserve">Član 75. </w:t>
      </w:r>
    </w:p>
    <w:p w:rsidR="00000000" w:rsidRDefault="0032744C">
      <w:pPr>
        <w:pStyle w:val="tekst"/>
      </w:pPr>
      <w:r>
        <w:t xml:space="preserve">Detaljan pregled svih sastavnih delova stabilne instalacije mora se vršiti svakih pet godina. </w:t>
      </w:r>
    </w:p>
    <w:p w:rsidR="00000000" w:rsidRDefault="0032744C">
      <w:pPr>
        <w:pStyle w:val="tekst"/>
      </w:pPr>
      <w:r>
        <w:t>Merenja otpora izolacije i uzemljenja je obavezno pri čemu upotrebljeni naponi mernih instrumenata ne smeju oštetiti komponente spojen</w:t>
      </w:r>
      <w:r>
        <w:t xml:space="preserve">e na vodu i kablove. </w:t>
      </w:r>
    </w:p>
    <w:p w:rsidR="00000000" w:rsidRDefault="0032744C">
      <w:pPr>
        <w:pStyle w:val="clan"/>
      </w:pPr>
      <w:r>
        <w:t xml:space="preserve">Član 76. </w:t>
      </w:r>
    </w:p>
    <w:p w:rsidR="00000000" w:rsidRDefault="0032744C">
      <w:pPr>
        <w:pStyle w:val="tekst"/>
      </w:pPr>
      <w:r>
        <w:t xml:space="preserve">Ovaj pravilnik stupa na snagu osmog dana od dana objavljivanja u "Službenom listu SRJ". </w:t>
      </w:r>
    </w:p>
    <w:p w:rsidR="00000000" w:rsidRDefault="0032744C">
      <w:pPr>
        <w:pStyle w:val="nabrajanje"/>
      </w:pPr>
      <w:r>
        <w:t xml:space="preserve">OBRAZAC KONTROLNE KNjIGE PREGLEDA I ISPITIVANjA STABILNE INSTALACIJE ZA DOJAVU POŽARA </w:t>
      </w:r>
    </w:p>
    <w:p w:rsidR="00000000" w:rsidRDefault="0032744C">
      <w:pPr>
        <w:pStyle w:val="tekst"/>
      </w:pPr>
      <w:r>
        <w:t>1. U kontrolnu knjigu, na posebnim stranicama, u</w:t>
      </w:r>
      <w:r>
        <w:t xml:space="preserve">pisuju se podaci o: </w:t>
      </w:r>
    </w:p>
    <w:p w:rsidR="00000000" w:rsidRDefault="0032744C">
      <w:pPr>
        <w:pStyle w:val="tekst"/>
      </w:pPr>
      <w:r>
        <w:t xml:space="preserve">1) ispitivanju akumulatora; </w:t>
      </w:r>
    </w:p>
    <w:p w:rsidR="00000000" w:rsidRDefault="0032744C">
      <w:pPr>
        <w:pStyle w:val="tekst"/>
      </w:pPr>
      <w:r>
        <w:t xml:space="preserve">2) lokaciji i broju dozvole za ugradnju jonizacijskih javljača; </w:t>
      </w:r>
    </w:p>
    <w:p w:rsidR="00000000" w:rsidRDefault="0032744C">
      <w:pPr>
        <w:pStyle w:val="tekst"/>
      </w:pPr>
      <w:r>
        <w:t xml:space="preserve">3) datumu obaveznih zamena pojedinih delova instalacije; </w:t>
      </w:r>
    </w:p>
    <w:p w:rsidR="00000000" w:rsidRDefault="0032744C">
      <w:pPr>
        <w:pStyle w:val="tekst"/>
      </w:pPr>
      <w:r>
        <w:t xml:space="preserve">4) pregledima, ispitivanjima, smetnjama, popravkama i sl. </w:t>
      </w:r>
    </w:p>
    <w:p w:rsidR="00000000" w:rsidRDefault="0032744C">
      <w:pPr>
        <w:pStyle w:val="tekst"/>
      </w:pPr>
      <w:r>
        <w:t>2. U kontrolnu knjigu up</w:t>
      </w:r>
      <w:r>
        <w:t xml:space="preserve">isuju se: signalizacije požara, kvarova, ispitivanja, lažna uzbunjivanja, privremena isključenja, datumi servisiranja i druga stanja koja se razlikuju od normalnog pogonskog stanja. </w:t>
      </w:r>
    </w:p>
    <w:p w:rsidR="00000000" w:rsidRDefault="0032744C">
      <w:pPr>
        <w:pStyle w:val="tekst"/>
      </w:pPr>
      <w:r>
        <w:t> </w:t>
      </w:r>
    </w:p>
    <w:tbl>
      <w:tblPr>
        <w:tblW w:w="850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1"/>
        <w:gridCol w:w="1064"/>
        <w:gridCol w:w="891"/>
        <w:gridCol w:w="1358"/>
        <w:gridCol w:w="1398"/>
        <w:gridCol w:w="1598"/>
        <w:gridCol w:w="1951"/>
      </w:tblGrid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 DATUM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VREME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ZONA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DOGAĐAJ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POTREBNI RADOVI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DATUM DOVRŠENjA RADOVA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POTPIS ODGOVORNOG LICA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  <w:p w:rsidR="00000000" w:rsidRDefault="0032744C">
            <w:pPr>
              <w:pStyle w:val="NormalWeb"/>
            </w:pPr>
            <w:r>
              <w:t xml:space="preserve">  </w:t>
            </w:r>
          </w:p>
          <w:p w:rsidR="00000000" w:rsidRDefault="0032744C">
            <w:pPr>
              <w:pStyle w:val="NormalWeb"/>
            </w:pPr>
            <w:r>
              <w:t xml:space="preserve">  </w:t>
            </w:r>
          </w:p>
          <w:p w:rsidR="00000000" w:rsidRDefault="0032744C">
            <w:pPr>
              <w:pStyle w:val="NormalWeb"/>
            </w:pPr>
            <w:r>
              <w:t xml:space="preserve">  </w:t>
            </w:r>
          </w:p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  <w:tc>
          <w:tcPr>
            <w:tcW w:w="700" w:type="pct"/>
            <w:hideMark/>
          </w:tcPr>
          <w:p w:rsidR="00000000" w:rsidRDefault="0032744C">
            <w:pPr>
              <w:pStyle w:val="NormalWeb"/>
            </w:pPr>
            <w:r>
              <w:t xml:space="preserve">  </w:t>
            </w:r>
          </w:p>
        </w:tc>
      </w:tr>
    </w:tbl>
    <w:p w:rsidR="00000000" w:rsidRDefault="0032744C">
      <w:pPr>
        <w:pStyle w:val="tekst"/>
      </w:pPr>
      <w:r>
        <w:t xml:space="preserve">OBAVEZAN SLEDEĆI SERVIS__________________________________________________ </w:t>
      </w:r>
    </w:p>
    <w:p w:rsidR="0032744C" w:rsidRDefault="0032744C">
      <w:pPr>
        <w:pStyle w:val="tekst"/>
      </w:pPr>
      <w:r>
        <w:t>POTROŠNE DELOVE INSTALACIJE OBAVEZNO ZAMENITI____________________</w:t>
      </w:r>
    </w:p>
    <w:sectPr w:rsidR="003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19C9"/>
    <w:rsid w:val="002419C9"/>
    <w:rsid w:val="003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8E52-00DE-4215-AEC7-D985751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tekst">
    <w:name w:val="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zakon">
    <w:name w:val="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naslov">
    <w:name w:val="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podnadnaslov">
    <w:name w:val="podnadnaslov"/>
    <w:basedOn w:val="Normal"/>
    <w:pPr>
      <w:spacing w:before="100"/>
      <w:jc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nadnaslov">
    <w:name w:val="nadnaslov"/>
    <w:basedOn w:val="Normal"/>
    <w:pPr>
      <w:shd w:val="clear" w:color="auto" w:fill="0000FF"/>
      <w:spacing w:before="240" w:after="240"/>
      <w:jc w:val="center"/>
    </w:pPr>
    <w:rPr>
      <w:sz w:val="36"/>
      <w:szCs w:val="36"/>
    </w:rPr>
  </w:style>
  <w:style w:type="paragraph" w:customStyle="1" w:styleId="podnas">
    <w:name w:val="podnas"/>
    <w:basedOn w:val="Normal"/>
    <w:pPr>
      <w:shd w:val="clear" w:color="auto" w:fill="808080"/>
      <w:spacing w:before="240" w:after="240"/>
      <w:jc w:val="center"/>
    </w:pPr>
  </w:style>
  <w:style w:type="paragraph" w:customStyle="1" w:styleId="pododeljak">
    <w:name w:val="pod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podpodnas">
    <w:name w:val="podpodnas"/>
    <w:basedOn w:val="Normal"/>
    <w:pPr>
      <w:shd w:val="clear" w:color="auto" w:fill="008080"/>
      <w:spacing w:before="240" w:after="240"/>
      <w:jc w:val="center"/>
    </w:pPr>
    <w:rPr>
      <w:rFonts w:ascii="Arial" w:hAnsi="Arial" w:cs="Arial"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pododeqak">
    <w:name w:val="pododeqak"/>
    <w:basedOn w:val="Normal"/>
    <w:pPr>
      <w:shd w:val="clear" w:color="auto" w:fill="F5F5DC"/>
      <w:spacing w:before="240" w:after="240"/>
      <w:jc w:val="center"/>
    </w:pPr>
  </w:style>
  <w:style w:type="paragraph" w:customStyle="1" w:styleId="mesto">
    <w:name w:val="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clan">
    <w:name w:val="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abrajanje">
    <w:name w:val="nabrajanje"/>
    <w:basedOn w:val="Normal"/>
    <w:pPr>
      <w:spacing w:before="450" w:after="450"/>
      <w:jc w:val="center"/>
    </w:pPr>
    <w:rPr>
      <w:rFonts w:ascii="Arial" w:hAnsi="Arial" w:cs="Arial"/>
      <w:sz w:val="27"/>
      <w:szCs w:val="27"/>
    </w:rPr>
  </w:style>
  <w:style w:type="paragraph" w:customStyle="1" w:styleId="odluciob">
    <w:name w:val="odlucio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alert">
    <w:name w:val="alert"/>
    <w:basedOn w:val="Normal"/>
    <w:pPr>
      <w:spacing w:before="450" w:after="450"/>
      <w:jc w:val="center"/>
    </w:pPr>
    <w:rPr>
      <w:rFonts w:ascii="Arial" w:hAnsi="Arial" w:cs="Arial"/>
      <w:color w:val="FF0000"/>
      <w:sz w:val="27"/>
      <w:szCs w:val="27"/>
    </w:rPr>
  </w:style>
  <w:style w:type="paragraph" w:customStyle="1" w:styleId="odlucio">
    <w:name w:val="odlucio"/>
    <w:basedOn w:val="Normal"/>
    <w:pPr>
      <w:spacing w:before="100" w:beforeAutospacing="1" w:after="100" w:afterAutospacing="1"/>
      <w:jc w:val="right"/>
    </w:pPr>
  </w:style>
  <w:style w:type="paragraph" w:customStyle="1" w:styleId="glava">
    <w:name w:val="glava"/>
    <w:basedOn w:val="Normal"/>
    <w:pPr>
      <w:spacing w:before="60" w:after="40"/>
      <w:jc w:val="center"/>
    </w:pPr>
    <w:rPr>
      <w:rFonts w:ascii="Arial" w:hAnsi="Arial" w:cs="Arial"/>
      <w:sz w:val="27"/>
      <w:szCs w:val="27"/>
    </w:rPr>
  </w:style>
  <w:style w:type="paragraph" w:customStyle="1" w:styleId="podglava">
    <w:name w:val="podglava"/>
    <w:basedOn w:val="Normal"/>
    <w:pPr>
      <w:shd w:val="clear" w:color="auto" w:fill="000080"/>
      <w:spacing w:before="240" w:after="240"/>
      <w:jc w:val="center"/>
    </w:pPr>
    <w:rPr>
      <w:b/>
      <w:bCs/>
      <w:sz w:val="29"/>
      <w:szCs w:val="29"/>
    </w:rPr>
  </w:style>
  <w:style w:type="paragraph" w:customStyle="1" w:styleId="odsek">
    <w:name w:val="odsek"/>
    <w:basedOn w:val="Normal"/>
    <w:pPr>
      <w:shd w:val="clear" w:color="auto" w:fill="C0C0C0"/>
      <w:spacing w:before="240" w:after="240"/>
      <w:jc w:val="center"/>
    </w:pPr>
    <w:rPr>
      <w:b/>
      <w:bCs/>
      <w:sz w:val="29"/>
      <w:szCs w:val="29"/>
    </w:rPr>
  </w:style>
  <w:style w:type="paragraph" w:customStyle="1" w:styleId="deo">
    <w:name w:val="deo"/>
    <w:basedOn w:val="Normal"/>
    <w:pPr>
      <w:shd w:val="clear" w:color="auto" w:fill="FF00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TEHNICKIM NORMATIVIMA ZA STABILNE INSTALACIJE ZA DOJAVU POZARA</vt:lpstr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TEHNICKIM NORMATIVIMA ZA STABILNE INSTALACIJE ZA DOJAVU POZARA</dc:title>
  <dc:subject/>
  <dc:creator>Goran</dc:creator>
  <cp:keywords/>
  <dc:description/>
  <cp:lastModifiedBy>Goran</cp:lastModifiedBy>
  <cp:revision>2</cp:revision>
  <dcterms:created xsi:type="dcterms:W3CDTF">2018-01-24T08:13:00Z</dcterms:created>
  <dcterms:modified xsi:type="dcterms:W3CDTF">2018-01-24T08:13:00Z</dcterms:modified>
</cp:coreProperties>
</file>